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543D1" w14:textId="5A039736" w:rsidR="00BF50A3" w:rsidRPr="00C86685" w:rsidRDefault="0027543B" w:rsidP="00C86685">
      <w:pPr>
        <w:shd w:val="clear" w:color="auto" w:fill="E8E8E8" w:themeFill="background2"/>
        <w:jc w:val="center"/>
        <w:rPr>
          <w:b/>
          <w:bCs/>
          <w:lang w:val="en-GB"/>
        </w:rPr>
      </w:pPr>
      <w:r w:rsidRPr="00F075F9">
        <w:rPr>
          <w:b/>
          <w:bCs/>
          <w:lang w:val="en-GB"/>
        </w:rPr>
        <w:t>COD-C-</w:t>
      </w:r>
      <w:r w:rsidR="00D179B3" w:rsidRPr="00F075F9">
        <w:rPr>
          <w:b/>
          <w:bCs/>
          <w:lang w:val="en-GB"/>
        </w:rPr>
        <w:t>UNDP PU</w:t>
      </w:r>
      <w:r w:rsidR="00264B22" w:rsidRPr="00F075F9">
        <w:rPr>
          <w:b/>
          <w:bCs/>
          <w:lang w:val="en-GB"/>
        </w:rPr>
        <w:t xml:space="preserve"> S1 2025</w:t>
      </w:r>
      <w:bookmarkStart w:id="0" w:name="_Hlk193461965"/>
    </w:p>
    <w:p w14:paraId="58863DCE" w14:textId="77777777" w:rsidR="00A31D0D" w:rsidRDefault="00A31D0D" w:rsidP="00A31D0D">
      <w:pPr>
        <w:pStyle w:val="Paragraphedeliste"/>
        <w:ind w:left="1080"/>
        <w:jc w:val="both"/>
      </w:pPr>
    </w:p>
    <w:p w14:paraId="0C02BCB4" w14:textId="77777777" w:rsidR="00C86685" w:rsidRPr="00F075F9" w:rsidRDefault="00C86685" w:rsidP="00A31D0D">
      <w:pPr>
        <w:pStyle w:val="Paragraphedeliste"/>
        <w:ind w:left="1080"/>
        <w:jc w:val="both"/>
      </w:pPr>
    </w:p>
    <w:tbl>
      <w:tblPr>
        <w:tblStyle w:val="Grilledutableau"/>
        <w:tblW w:w="4824" w:type="pct"/>
        <w:tblLook w:val="04A0" w:firstRow="1" w:lastRow="0" w:firstColumn="1" w:lastColumn="0" w:noHBand="0" w:noVBand="1"/>
      </w:tblPr>
      <w:tblGrid>
        <w:gridCol w:w="1459"/>
        <w:gridCol w:w="936"/>
        <w:gridCol w:w="692"/>
        <w:gridCol w:w="933"/>
        <w:gridCol w:w="851"/>
        <w:gridCol w:w="710"/>
        <w:gridCol w:w="992"/>
        <w:gridCol w:w="802"/>
        <w:gridCol w:w="1324"/>
      </w:tblGrid>
      <w:tr w:rsidR="00A31D0D" w:rsidRPr="00F075F9" w14:paraId="44BCEEDB" w14:textId="77777777" w:rsidTr="002914FE">
        <w:trPr>
          <w:trHeight w:val="496"/>
        </w:trPr>
        <w:tc>
          <w:tcPr>
            <w:tcW w:w="839" w:type="pct"/>
            <w:vMerge w:val="restart"/>
          </w:tcPr>
          <w:p w14:paraId="30FDDE01"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Indicateur</w:t>
            </w:r>
          </w:p>
        </w:tc>
        <w:tc>
          <w:tcPr>
            <w:tcW w:w="538" w:type="pct"/>
            <w:vMerge w:val="restart"/>
            <w:shd w:val="clear" w:color="auto" w:fill="BEBEBE"/>
          </w:tcPr>
          <w:p w14:paraId="163AA1DC"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1423" w:type="pct"/>
            <w:gridSpan w:val="3"/>
            <w:shd w:val="clear" w:color="auto" w:fill="BEBEBE"/>
            <w:vAlign w:val="center"/>
          </w:tcPr>
          <w:p w14:paraId="62603210"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2200" w:type="pct"/>
            <w:gridSpan w:val="4"/>
            <w:shd w:val="clear" w:color="auto" w:fill="83CAEB" w:themeFill="accent1" w:themeFillTint="66"/>
            <w:vAlign w:val="center"/>
          </w:tcPr>
          <w:p w14:paraId="1F6D720C" w14:textId="77777777" w:rsidR="00A31D0D" w:rsidRPr="00F075F9" w:rsidRDefault="00A31D0D" w:rsidP="002914FE">
            <w:pPr>
              <w:pStyle w:val="Paragraphedeliste"/>
              <w:ind w:left="0"/>
              <w:jc w:val="center"/>
            </w:pPr>
            <w:proofErr w:type="gramStart"/>
            <w:r w:rsidRPr="00F075F9">
              <w:rPr>
                <w:rFonts w:asciiTheme="majorHAnsi" w:eastAsia="Times New Roman" w:hAnsiTheme="majorHAnsi" w:cs="Segoe UI"/>
                <w:b/>
                <w:bCs/>
                <w:color w:val="000000"/>
                <w:kern w:val="24"/>
                <w:sz w:val="20"/>
                <w:szCs w:val="20"/>
                <w:lang w:eastAsia="fr-CD"/>
                <w14:ligatures w14:val="none"/>
              </w:rPr>
              <w:t>Résultats  S</w:t>
            </w:r>
            <w:proofErr w:type="gramEnd"/>
            <w:r w:rsidRPr="00F075F9">
              <w:rPr>
                <w:rFonts w:asciiTheme="majorHAnsi" w:eastAsia="Times New Roman" w:hAnsiTheme="majorHAnsi" w:cs="Segoe UI"/>
                <w:b/>
                <w:bCs/>
                <w:color w:val="000000"/>
                <w:kern w:val="24"/>
                <w:sz w:val="20"/>
                <w:szCs w:val="20"/>
                <w:lang w:eastAsia="fr-CD"/>
                <w14:ligatures w14:val="none"/>
              </w:rPr>
              <w:t>1 2025</w:t>
            </w:r>
          </w:p>
        </w:tc>
      </w:tr>
      <w:tr w:rsidR="00A31D0D" w:rsidRPr="00F075F9" w14:paraId="7395A105" w14:textId="77777777" w:rsidTr="002914FE">
        <w:trPr>
          <w:trHeight w:val="146"/>
        </w:trPr>
        <w:tc>
          <w:tcPr>
            <w:tcW w:w="839" w:type="pct"/>
            <w:vMerge/>
          </w:tcPr>
          <w:p w14:paraId="1F241FC0" w14:textId="77777777" w:rsidR="00A31D0D" w:rsidRPr="00F075F9" w:rsidRDefault="00A31D0D" w:rsidP="002914FE">
            <w:pPr>
              <w:pStyle w:val="Paragraphedeliste"/>
              <w:ind w:left="0"/>
              <w:jc w:val="both"/>
            </w:pPr>
          </w:p>
        </w:tc>
        <w:tc>
          <w:tcPr>
            <w:tcW w:w="538" w:type="pct"/>
            <w:vMerge/>
          </w:tcPr>
          <w:p w14:paraId="47E2DA92" w14:textId="77777777" w:rsidR="00A31D0D" w:rsidRPr="00F075F9" w:rsidRDefault="00A31D0D" w:rsidP="002914FE">
            <w:pPr>
              <w:pStyle w:val="Paragraphedeliste"/>
              <w:ind w:left="0"/>
              <w:jc w:val="both"/>
            </w:pPr>
          </w:p>
        </w:tc>
        <w:tc>
          <w:tcPr>
            <w:tcW w:w="398" w:type="pct"/>
            <w:shd w:val="clear" w:color="auto" w:fill="BEBEBE"/>
            <w:vAlign w:val="center"/>
          </w:tcPr>
          <w:p w14:paraId="64E7FA5D"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536" w:type="pct"/>
            <w:shd w:val="clear" w:color="auto" w:fill="BEBEBE"/>
            <w:vAlign w:val="center"/>
          </w:tcPr>
          <w:p w14:paraId="327CAE22"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489" w:type="pct"/>
            <w:shd w:val="clear" w:color="auto" w:fill="BEBEBE"/>
            <w:vAlign w:val="center"/>
          </w:tcPr>
          <w:p w14:paraId="74311ADA"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408" w:type="pct"/>
            <w:shd w:val="clear" w:color="auto" w:fill="83CAEB" w:themeFill="accent1" w:themeFillTint="66"/>
            <w:vAlign w:val="center"/>
          </w:tcPr>
          <w:p w14:paraId="1AE0087F"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570" w:type="pct"/>
            <w:shd w:val="clear" w:color="auto" w:fill="83CAEB" w:themeFill="accent1" w:themeFillTint="66"/>
            <w:vAlign w:val="center"/>
          </w:tcPr>
          <w:p w14:paraId="1FB2A7D0"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461" w:type="pct"/>
            <w:shd w:val="clear" w:color="auto" w:fill="83CAEB" w:themeFill="accent1" w:themeFillTint="66"/>
            <w:vAlign w:val="center"/>
          </w:tcPr>
          <w:p w14:paraId="23DC8877"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761" w:type="pct"/>
            <w:shd w:val="clear" w:color="auto" w:fill="83CAEB" w:themeFill="accent1" w:themeFillTint="66"/>
            <w:vAlign w:val="center"/>
          </w:tcPr>
          <w:p w14:paraId="5E6C1605"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A31D0D" w:rsidRPr="00F075F9" w14:paraId="4ED137EB" w14:textId="77777777" w:rsidTr="002914FE">
        <w:trPr>
          <w:trHeight w:val="1931"/>
        </w:trPr>
        <w:tc>
          <w:tcPr>
            <w:tcW w:w="839" w:type="pct"/>
            <w:shd w:val="clear" w:color="auto" w:fill="E9E9E9"/>
            <w:vAlign w:val="center"/>
          </w:tcPr>
          <w:p w14:paraId="4E4F2989" w14:textId="77777777" w:rsidR="00A31D0D" w:rsidRPr="00F075F9" w:rsidRDefault="00A31D0D" w:rsidP="002914FE">
            <w:pPr>
              <w:rPr>
                <w:rFonts w:asciiTheme="majorHAnsi" w:hAnsiTheme="majorHAnsi"/>
                <w:b/>
                <w:bCs/>
                <w:sz w:val="20"/>
                <w:szCs w:val="20"/>
              </w:rPr>
            </w:pPr>
            <w:r w:rsidRPr="00F075F9">
              <w:rPr>
                <w:rFonts w:asciiTheme="majorHAnsi" w:hAnsiTheme="majorHAnsi"/>
                <w:b/>
                <w:bCs/>
                <w:sz w:val="20"/>
                <w:szCs w:val="20"/>
              </w:rPr>
              <w:t>KP-1a Pourcentage de HSH ayant bénéficié de programmes préventifs de lutte contre le VIH (paquet de services définis)</w:t>
            </w:r>
          </w:p>
          <w:p w14:paraId="4DF95C30" w14:textId="77777777" w:rsidR="00A31D0D" w:rsidRPr="00F075F9" w:rsidRDefault="00A31D0D" w:rsidP="002914FE">
            <w:pPr>
              <w:pStyle w:val="Paragraphedeliste"/>
              <w:ind w:left="0"/>
              <w:jc w:val="both"/>
            </w:pPr>
          </w:p>
        </w:tc>
        <w:tc>
          <w:tcPr>
            <w:tcW w:w="538" w:type="pct"/>
            <w:tcBorders>
              <w:top w:val="single" w:sz="4" w:space="0" w:color="auto"/>
              <w:left w:val="single" w:sz="4" w:space="0" w:color="auto"/>
              <w:bottom w:val="single" w:sz="4" w:space="0" w:color="auto"/>
              <w:right w:val="single" w:sz="4" w:space="0" w:color="auto"/>
            </w:tcBorders>
            <w:vAlign w:val="center"/>
          </w:tcPr>
          <w:p w14:paraId="72527B18"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3053</w:t>
            </w:r>
          </w:p>
        </w:tc>
        <w:tc>
          <w:tcPr>
            <w:tcW w:w="398" w:type="pct"/>
            <w:tcBorders>
              <w:top w:val="single" w:sz="4" w:space="0" w:color="auto"/>
              <w:left w:val="single" w:sz="4" w:space="0" w:color="auto"/>
              <w:bottom w:val="single" w:sz="4" w:space="0" w:color="auto"/>
              <w:right w:val="single" w:sz="4" w:space="0" w:color="auto"/>
            </w:tcBorders>
            <w:shd w:val="clear" w:color="auto" w:fill="E7E6E6"/>
            <w:vAlign w:val="center"/>
          </w:tcPr>
          <w:p w14:paraId="614949DE"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9 891</w:t>
            </w:r>
          </w:p>
        </w:tc>
        <w:tc>
          <w:tcPr>
            <w:tcW w:w="536" w:type="pct"/>
            <w:tcBorders>
              <w:top w:val="single" w:sz="4" w:space="0" w:color="auto"/>
              <w:left w:val="nil"/>
              <w:bottom w:val="single" w:sz="4" w:space="0" w:color="auto"/>
              <w:right w:val="single" w:sz="4" w:space="0" w:color="auto"/>
            </w:tcBorders>
            <w:shd w:val="clear" w:color="auto" w:fill="E7E6E6"/>
            <w:vAlign w:val="center"/>
          </w:tcPr>
          <w:p w14:paraId="53A3B71E"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128 404</w:t>
            </w:r>
          </w:p>
        </w:tc>
        <w:tc>
          <w:tcPr>
            <w:tcW w:w="489" w:type="pct"/>
            <w:tcBorders>
              <w:top w:val="single" w:sz="4" w:space="0" w:color="auto"/>
              <w:left w:val="nil"/>
              <w:bottom w:val="single" w:sz="4" w:space="0" w:color="auto"/>
              <w:right w:val="single" w:sz="4" w:space="0" w:color="auto"/>
            </w:tcBorders>
            <w:shd w:val="clear" w:color="auto" w:fill="E7E6E6"/>
            <w:vAlign w:val="center"/>
          </w:tcPr>
          <w:p w14:paraId="4AB4E233"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7,70%</w:t>
            </w:r>
          </w:p>
        </w:tc>
        <w:tc>
          <w:tcPr>
            <w:tcW w:w="408" w:type="pct"/>
            <w:tcBorders>
              <w:top w:val="single" w:sz="4" w:space="0" w:color="auto"/>
              <w:left w:val="nil"/>
              <w:bottom w:val="single" w:sz="4" w:space="0" w:color="auto"/>
              <w:right w:val="single" w:sz="4" w:space="0" w:color="auto"/>
            </w:tcBorders>
            <w:vAlign w:val="center"/>
          </w:tcPr>
          <w:p w14:paraId="18569260" w14:textId="77777777" w:rsidR="00A31D0D" w:rsidRPr="00F075F9" w:rsidRDefault="00A31D0D" w:rsidP="002914FE">
            <w:pPr>
              <w:pStyle w:val="Paragraphedeliste"/>
              <w:ind w:left="0"/>
              <w:jc w:val="both"/>
            </w:pPr>
            <w:bookmarkStart w:id="1" w:name="_Hlk206078256"/>
            <w:r w:rsidRPr="00F075F9">
              <w:rPr>
                <w:rFonts w:ascii="Aptos Display" w:hAnsi="Aptos Display" w:cs="Calibri"/>
                <w:color w:val="000000"/>
                <w:sz w:val="20"/>
                <w:szCs w:val="20"/>
              </w:rPr>
              <w:t>9676</w:t>
            </w:r>
            <w:bookmarkEnd w:id="1"/>
          </w:p>
        </w:tc>
        <w:tc>
          <w:tcPr>
            <w:tcW w:w="570" w:type="pct"/>
            <w:tcBorders>
              <w:top w:val="single" w:sz="4" w:space="0" w:color="auto"/>
              <w:left w:val="nil"/>
              <w:bottom w:val="single" w:sz="4" w:space="0" w:color="auto"/>
              <w:right w:val="single" w:sz="4" w:space="0" w:color="auto"/>
            </w:tcBorders>
            <w:vAlign w:val="center"/>
          </w:tcPr>
          <w:p w14:paraId="4C3A2A2A"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128 404</w:t>
            </w:r>
          </w:p>
        </w:tc>
        <w:tc>
          <w:tcPr>
            <w:tcW w:w="461" w:type="pct"/>
            <w:tcBorders>
              <w:top w:val="single" w:sz="4" w:space="0" w:color="auto"/>
              <w:left w:val="nil"/>
              <w:bottom w:val="single" w:sz="4" w:space="0" w:color="auto"/>
              <w:right w:val="single" w:sz="4" w:space="0" w:color="auto"/>
            </w:tcBorders>
            <w:vAlign w:val="center"/>
          </w:tcPr>
          <w:p w14:paraId="6E707D6C"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7,54%</w:t>
            </w:r>
          </w:p>
        </w:tc>
        <w:tc>
          <w:tcPr>
            <w:tcW w:w="761" w:type="pct"/>
            <w:tcBorders>
              <w:top w:val="single" w:sz="4" w:space="0" w:color="auto"/>
              <w:left w:val="single" w:sz="4" w:space="0" w:color="auto"/>
              <w:bottom w:val="single" w:sz="4" w:space="0" w:color="auto"/>
              <w:right w:val="single" w:sz="4" w:space="0" w:color="auto"/>
            </w:tcBorders>
            <w:shd w:val="clear" w:color="auto" w:fill="A9D08E"/>
            <w:vAlign w:val="center"/>
          </w:tcPr>
          <w:p w14:paraId="6C889536"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97,8%</w:t>
            </w:r>
          </w:p>
        </w:tc>
      </w:tr>
    </w:tbl>
    <w:p w14:paraId="4B5B2396" w14:textId="77777777" w:rsidR="00A31D0D" w:rsidRPr="00F075F9" w:rsidRDefault="00A31D0D" w:rsidP="00A31D0D">
      <w:pPr>
        <w:jc w:val="both"/>
      </w:pPr>
      <w:r w:rsidRPr="00F075F9">
        <w:t>Source des données : Optima 2.40</w:t>
      </w:r>
    </w:p>
    <w:p w14:paraId="02711CF2" w14:textId="77777777" w:rsidR="00A31D0D" w:rsidRPr="00F075F9" w:rsidRDefault="00A31D0D" w:rsidP="00A31D0D">
      <w:pPr>
        <w:jc w:val="both"/>
      </w:pPr>
      <w:r w:rsidRPr="00F075F9">
        <w:rPr>
          <w:b/>
          <w:bCs/>
        </w:rPr>
        <w:t>Commentaires du PR sur le KP-1a</w:t>
      </w:r>
      <w:r w:rsidRPr="00F075F9">
        <w:t xml:space="preserve"> :</w:t>
      </w:r>
    </w:p>
    <w:p w14:paraId="48700F29" w14:textId="77777777" w:rsidR="00A31D0D" w:rsidRPr="00F075F9" w:rsidRDefault="00A31D0D" w:rsidP="00A31D0D">
      <w:pPr>
        <w:jc w:val="both"/>
      </w:pPr>
      <w:bookmarkStart w:id="2" w:name="_Hlk205918797"/>
      <w:r w:rsidRPr="00F075F9">
        <w:t>Ces données se rapportent à la période allant de janvier à juin 2025 avec une complétude de rapport de 100% selon OPTIMA. Au total, 9 676 HSH ont bénéficié des programmes préventifs de lutte contre le VIH contre 9 891 attendus soit une performance de 97,8%.</w:t>
      </w:r>
    </w:p>
    <w:p w14:paraId="0E0267EC" w14:textId="77777777" w:rsidR="00A31D0D" w:rsidRPr="00F075F9" w:rsidRDefault="00A31D0D" w:rsidP="00A31D0D">
      <w:pPr>
        <w:jc w:val="both"/>
      </w:pPr>
      <w:r w:rsidRPr="00F075F9">
        <w:t>Il faut noter qu’une vérification des données dans quelques CC/CI a montré une assez bonne concordance entre des données saisies sur optima et les sources primaires (registres), garantissant ainsi la fiabilité des données renseignées dans ce rapport pour l’ensemble de neuf premiers indicateurs standards recueillis par ce canal (optima).</w:t>
      </w:r>
    </w:p>
    <w:bookmarkEnd w:id="2"/>
    <w:p w14:paraId="0D5992EB" w14:textId="77777777" w:rsidR="00A31D0D" w:rsidRPr="00F075F9" w:rsidRDefault="00A31D0D" w:rsidP="00A31D0D">
      <w:pPr>
        <w:jc w:val="both"/>
      </w:pPr>
      <w:r w:rsidRPr="00F075F9">
        <w:t xml:space="preserve">Il sied de noter que l’outil de rapportage normé et paramétré dans OPTIMA/DHIS2 à ce jour, ne permet pas de renseigner avec précision l’information sur le nombre des HSH ayant reçu des services précis, tels les préservatifs et gels lubrifiants parmi ceux qui ont été sensibilisés. Ainsi, dans le cadre du présent rapport, sont considérés comme HSH ayant eu accès au paquet de prévention, ceux qui ont été sensibilisés au cours des sessions organisées dans les centres conviviaux (CC) et intégrés (CI) ainsi que dans la communauté lors des itinérances des </w:t>
      </w:r>
      <w:r w:rsidRPr="00F075F9">
        <w:rPr>
          <w:b/>
          <w:bCs/>
        </w:rPr>
        <w:t>prestataires et des Pairs éducateurs (PE)</w:t>
      </w:r>
      <w:r w:rsidRPr="00F075F9">
        <w:t xml:space="preserve"> au cours de la période concerné. Et au cours de toutes ces sessions des préservatifs et lubrifiants ont été distribués aux différents clients reçus.</w:t>
      </w:r>
    </w:p>
    <w:p w14:paraId="4065EE1B" w14:textId="77777777" w:rsidR="00A31D0D" w:rsidRPr="00F075F9" w:rsidRDefault="00A31D0D" w:rsidP="00A31D0D">
      <w:pPr>
        <w:jc w:val="both"/>
      </w:pPr>
      <w:r w:rsidRPr="00F075F9">
        <w:t xml:space="preserve">Par ailleurs, la comparaison des résultats obtenus au S1 2024 (15 230) à ceux de S1 2025, l’on constate une diminution de près de 40% du nombre des HSH ayant bénéficié des programmes de prévention pour le S1 2025. Cette différence pourrait être liée aux stocks limités des intrants de prévention dans les CC et CI pendant les quatre premiers mois du semestre sous rapportage, ce qui réduit, généralement aussi bien la fréquentation des centres conviviaux que l’afflux vers les activités foraines organisées dans la communauté ; mais aussi à la transition dans la gestion des centres conviviaux en </w:t>
      </w:r>
      <w:r w:rsidRPr="00F075F9">
        <w:lastRenderedPageBreak/>
        <w:t xml:space="preserve">attendant la contractualisation avec les SR qui n’a été effective qu’au deuxième trimestre 2025. Cette période de transition était notamment caractérisée par une mise en œuvre des activités non optimale, certains centres ayant momentanément fermé (cas du centre convivial de </w:t>
      </w:r>
      <w:proofErr w:type="spellStart"/>
      <w:r w:rsidRPr="00F075F9">
        <w:t>Makiso</w:t>
      </w:r>
      <w:proofErr w:type="spellEnd"/>
      <w:r w:rsidRPr="00F075F9">
        <w:t xml:space="preserve"> à Kisangani et de </w:t>
      </w:r>
      <w:proofErr w:type="spellStart"/>
      <w:r w:rsidRPr="00F075F9">
        <w:t>Barumbu</w:t>
      </w:r>
      <w:proofErr w:type="spellEnd"/>
      <w:r w:rsidRPr="00F075F9">
        <w:t xml:space="preserve"> à Kinshasa) ou même fonctionner avec un personnel réduit sans compter le fait que les acteurs communautaires et leurs organisations (OAC) n’étaient pas encore mis en place.</w:t>
      </w:r>
    </w:p>
    <w:p w14:paraId="216C4625" w14:textId="77777777" w:rsidR="00A31D0D" w:rsidRPr="00F075F9" w:rsidRDefault="00A31D0D" w:rsidP="00A31D0D">
      <w:pPr>
        <w:jc w:val="both"/>
      </w:pPr>
      <w:r w:rsidRPr="00F075F9">
        <w:t xml:space="preserve">La performance au-delà des estimations du cadre de performance est à attribuer entre autres à des activités de sensibilisation communautaire en stratégie mobile tels les  évènements sociaux semestriels pour assurer la mobilisation communautaire couplés à la distribution des intrants de prévention (préservatifs, gels lubrifiants, dépistage y compris l’auto dépistage assisté, l’initiation et le renouvellement de la </w:t>
      </w:r>
      <w:proofErr w:type="spellStart"/>
      <w:r w:rsidRPr="00F075F9">
        <w:t>PrEP</w:t>
      </w:r>
      <w:proofErr w:type="spellEnd"/>
      <w:r w:rsidRPr="00F075F9">
        <w:t xml:space="preserve">…) qui ont été mises en œuvre par les PE et les prestataires au niveau des points chauds dans le rayon d’action des CC/CI avec l’appui de SR au cours du mois de juin correspondant à l’approvisionnement de la grande majorité de ces centres en intrants. </w:t>
      </w:r>
    </w:p>
    <w:p w14:paraId="51CBC618" w14:textId="77777777" w:rsidR="00A31D0D" w:rsidRPr="00F075F9" w:rsidRDefault="00A31D0D" w:rsidP="00A31D0D">
      <w:pPr>
        <w:jc w:val="both"/>
      </w:pPr>
      <w:r w:rsidRPr="00F075F9">
        <w:t xml:space="preserve">Toutefois, le PR envisage améliorer l’offre et la qualité des services et des données de prévention aux HSH conformément à la cible retenue dans le cadre de performance. C’est dans ce cadre que le PR planifie de : </w:t>
      </w:r>
    </w:p>
    <w:p w14:paraId="117B5998" w14:textId="77777777" w:rsidR="00A31D0D" w:rsidRPr="00F075F9" w:rsidRDefault="00A31D0D" w:rsidP="00A31D0D">
      <w:pPr>
        <w:pStyle w:val="Paragraphedeliste"/>
        <w:numPr>
          <w:ilvl w:val="0"/>
          <w:numId w:val="27"/>
        </w:numPr>
        <w:jc w:val="both"/>
      </w:pPr>
      <w:bookmarkStart w:id="3" w:name="_Hlk205920534"/>
      <w:r w:rsidRPr="00F075F9">
        <w:t xml:space="preserve">Assurer </w:t>
      </w:r>
      <w:r w:rsidRPr="00F075F9">
        <w:rPr>
          <w:b/>
          <w:bCs/>
        </w:rPr>
        <w:t>la disponibilité des intrants de prévention dans les CC/CI</w:t>
      </w:r>
      <w:r w:rsidRPr="00F075F9">
        <w:t xml:space="preserve"> par un approvisionnement en préservatifs et lubrifiants à un rythme plutôt mensuel que trimestriel</w:t>
      </w:r>
      <w:bookmarkEnd w:id="3"/>
      <w:r w:rsidRPr="00F075F9">
        <w:t xml:space="preserve">. Les sous récipiendaires (SR) s’occuperont de cette distribution en lieu et place des centrales régionales de distribution dont le délai de livraison est plus long, du fait que cela est fait façon groupée avec l’ensemble des zones de santé et établissements de santé de leurs rayons d’action respectifs. </w:t>
      </w:r>
    </w:p>
    <w:p w14:paraId="4428CBA6" w14:textId="77777777" w:rsidR="00A31D0D" w:rsidRPr="00F075F9" w:rsidRDefault="00A31D0D" w:rsidP="00A31D0D">
      <w:pPr>
        <w:pStyle w:val="Paragraphedeliste"/>
        <w:numPr>
          <w:ilvl w:val="0"/>
          <w:numId w:val="27"/>
        </w:numPr>
        <w:jc w:val="both"/>
      </w:pPr>
      <w:r w:rsidRPr="00F075F9">
        <w:t xml:space="preserve">Renforcer les </w:t>
      </w:r>
      <w:r w:rsidRPr="00F075F9">
        <w:rPr>
          <w:b/>
          <w:bCs/>
        </w:rPr>
        <w:t>capacités des prestataires des centres conviviaux et intégrés dans l’offre des services de santé sexuelle et reproductive</w:t>
      </w:r>
      <w:r w:rsidRPr="00F075F9">
        <w:t xml:space="preserve"> de qualité au cours du troisième trimestre 2025.</w:t>
      </w:r>
    </w:p>
    <w:p w14:paraId="6C197851" w14:textId="77777777" w:rsidR="00A31D0D" w:rsidRPr="00F075F9" w:rsidRDefault="00A31D0D" w:rsidP="00A31D0D">
      <w:pPr>
        <w:pStyle w:val="Paragraphedeliste"/>
        <w:numPr>
          <w:ilvl w:val="0"/>
          <w:numId w:val="27"/>
        </w:numPr>
        <w:jc w:val="both"/>
      </w:pPr>
      <w:r w:rsidRPr="00F075F9">
        <w:t xml:space="preserve">Renforcer les capacités des acteurs des centres conviviaux et des </w:t>
      </w:r>
      <w:proofErr w:type="spellStart"/>
      <w:r w:rsidRPr="00F075F9">
        <w:t>SRs</w:t>
      </w:r>
      <w:proofErr w:type="spellEnd"/>
      <w:r w:rsidRPr="00F075F9">
        <w:t xml:space="preserve"> sur la compréhension, l’utilisation et la gestion des outils de collecte et de rapportage afin d’améliorer la qualité des données VIH et leur utilisation dans la prise des décisions. </w:t>
      </w:r>
    </w:p>
    <w:p w14:paraId="2829B38A" w14:textId="77777777" w:rsidR="00A31D0D" w:rsidRPr="00F075F9" w:rsidRDefault="00A31D0D" w:rsidP="00A31D0D">
      <w:pPr>
        <w:pStyle w:val="Paragraphedeliste"/>
        <w:numPr>
          <w:ilvl w:val="0"/>
          <w:numId w:val="27"/>
        </w:numPr>
        <w:jc w:val="both"/>
      </w:pPr>
      <w:r w:rsidRPr="00F075F9">
        <w:t>Engager une discussion avec le programme national VIH sur les cibles retenues dans certaines provinces qui n’ont pas expressément bénéficié de l’étude d’estimation de la taille des populations clés. C’est le cas des provinces comme Kwilu et Kasaï oriental.</w:t>
      </w:r>
    </w:p>
    <w:p w14:paraId="62D96F33" w14:textId="77777777" w:rsidR="00A31D0D" w:rsidRPr="00F075F9" w:rsidRDefault="00A31D0D" w:rsidP="00A31D0D">
      <w:pPr>
        <w:pStyle w:val="Paragraphedeliste"/>
        <w:numPr>
          <w:ilvl w:val="0"/>
          <w:numId w:val="25"/>
        </w:numPr>
        <w:jc w:val="both"/>
      </w:pPr>
      <w:r w:rsidRPr="00F075F9">
        <w:t xml:space="preserve">Rendre disponibles les outils récemment validés par le programme national, lesquels permettent de collecter les informations relatives aux quantités d’intrants de prévention distribués par population clé. Ce qui est prévu lors des supervisions du trimestre 3 en septembre 2025. </w:t>
      </w:r>
    </w:p>
    <w:p w14:paraId="4A8BEEF6" w14:textId="77777777" w:rsidR="00A31D0D" w:rsidRPr="00F075F9" w:rsidRDefault="00A31D0D" w:rsidP="00A31D0D">
      <w:pPr>
        <w:jc w:val="both"/>
      </w:pPr>
    </w:p>
    <w:p w14:paraId="755B41BC" w14:textId="77777777" w:rsidR="00A31D0D" w:rsidRPr="00F075F9" w:rsidRDefault="00A31D0D" w:rsidP="00A31D0D">
      <w:pPr>
        <w:pStyle w:val="Paragraphedeliste"/>
        <w:ind w:left="1080"/>
        <w:jc w:val="both"/>
      </w:pPr>
    </w:p>
    <w:tbl>
      <w:tblPr>
        <w:tblStyle w:val="Grilledutableau"/>
        <w:tblW w:w="4481" w:type="pct"/>
        <w:tblLook w:val="04A0" w:firstRow="1" w:lastRow="0" w:firstColumn="1" w:lastColumn="0" w:noHBand="0" w:noVBand="1"/>
      </w:tblPr>
      <w:tblGrid>
        <w:gridCol w:w="1469"/>
        <w:gridCol w:w="936"/>
        <w:gridCol w:w="696"/>
        <w:gridCol w:w="682"/>
        <w:gridCol w:w="663"/>
        <w:gridCol w:w="696"/>
        <w:gridCol w:w="682"/>
        <w:gridCol w:w="931"/>
        <w:gridCol w:w="1325"/>
      </w:tblGrid>
      <w:tr w:rsidR="00A31D0D" w:rsidRPr="00F075F9" w14:paraId="24715770" w14:textId="77777777" w:rsidTr="002914FE">
        <w:trPr>
          <w:trHeight w:val="496"/>
        </w:trPr>
        <w:tc>
          <w:tcPr>
            <w:tcW w:w="909" w:type="pct"/>
            <w:vMerge w:val="restart"/>
          </w:tcPr>
          <w:p w14:paraId="48F5B87E"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Indicateur</w:t>
            </w:r>
          </w:p>
        </w:tc>
        <w:tc>
          <w:tcPr>
            <w:tcW w:w="579" w:type="pct"/>
            <w:vMerge w:val="restart"/>
            <w:shd w:val="clear" w:color="auto" w:fill="BEBEBE"/>
          </w:tcPr>
          <w:p w14:paraId="15B38288"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1263" w:type="pct"/>
            <w:gridSpan w:val="3"/>
            <w:shd w:val="clear" w:color="auto" w:fill="BEBEBE"/>
            <w:vAlign w:val="center"/>
          </w:tcPr>
          <w:p w14:paraId="22A35D32"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2249" w:type="pct"/>
            <w:gridSpan w:val="4"/>
            <w:shd w:val="clear" w:color="auto" w:fill="83CAEB" w:themeFill="accent1" w:themeFillTint="66"/>
            <w:vAlign w:val="center"/>
          </w:tcPr>
          <w:p w14:paraId="703B0D12" w14:textId="77777777" w:rsidR="00A31D0D" w:rsidRPr="00F075F9" w:rsidRDefault="00A31D0D" w:rsidP="002914FE">
            <w:pPr>
              <w:pStyle w:val="Paragraphedeliste"/>
              <w:ind w:left="0"/>
            </w:pPr>
            <w:r w:rsidRPr="00F075F9">
              <w:rPr>
                <w:rFonts w:asciiTheme="majorHAnsi" w:eastAsia="Times New Roman" w:hAnsiTheme="majorHAnsi" w:cs="Segoe UI"/>
                <w:b/>
                <w:bCs/>
                <w:color w:val="000000"/>
                <w:kern w:val="24"/>
                <w:sz w:val="20"/>
                <w:szCs w:val="20"/>
                <w:lang w:eastAsia="fr-CD"/>
                <w14:ligatures w14:val="none"/>
              </w:rPr>
              <w:t xml:space="preserve">                                             </w:t>
            </w:r>
            <w:proofErr w:type="gramStart"/>
            <w:r w:rsidRPr="00F075F9">
              <w:rPr>
                <w:rFonts w:asciiTheme="majorHAnsi" w:eastAsia="Times New Roman" w:hAnsiTheme="majorHAnsi" w:cs="Segoe UI"/>
                <w:b/>
                <w:bCs/>
                <w:color w:val="000000"/>
                <w:kern w:val="24"/>
                <w:sz w:val="20"/>
                <w:szCs w:val="20"/>
                <w:lang w:eastAsia="fr-CD"/>
                <w14:ligatures w14:val="none"/>
              </w:rPr>
              <w:t>Résultats  S</w:t>
            </w:r>
            <w:proofErr w:type="gramEnd"/>
            <w:r w:rsidRPr="00F075F9">
              <w:rPr>
                <w:rFonts w:asciiTheme="majorHAnsi" w:eastAsia="Times New Roman" w:hAnsiTheme="majorHAnsi" w:cs="Segoe UI"/>
                <w:b/>
                <w:bCs/>
                <w:color w:val="000000"/>
                <w:kern w:val="24"/>
                <w:sz w:val="20"/>
                <w:szCs w:val="20"/>
                <w:lang w:eastAsia="fr-CD"/>
                <w14:ligatures w14:val="none"/>
              </w:rPr>
              <w:t>1 2025</w:t>
            </w:r>
          </w:p>
        </w:tc>
      </w:tr>
      <w:tr w:rsidR="00A31D0D" w:rsidRPr="00F075F9" w14:paraId="322906FE" w14:textId="77777777" w:rsidTr="002914FE">
        <w:trPr>
          <w:trHeight w:val="146"/>
        </w:trPr>
        <w:tc>
          <w:tcPr>
            <w:tcW w:w="909" w:type="pct"/>
            <w:vMerge/>
          </w:tcPr>
          <w:p w14:paraId="2B342CBF" w14:textId="77777777" w:rsidR="00A31D0D" w:rsidRPr="00F075F9" w:rsidRDefault="00A31D0D" w:rsidP="002914FE">
            <w:pPr>
              <w:pStyle w:val="Paragraphedeliste"/>
              <w:ind w:left="0"/>
              <w:jc w:val="both"/>
            </w:pPr>
          </w:p>
        </w:tc>
        <w:tc>
          <w:tcPr>
            <w:tcW w:w="579" w:type="pct"/>
            <w:vMerge/>
          </w:tcPr>
          <w:p w14:paraId="0BA552B0" w14:textId="77777777" w:rsidR="00A31D0D" w:rsidRPr="00F075F9" w:rsidRDefault="00A31D0D" w:rsidP="002914FE">
            <w:pPr>
              <w:pStyle w:val="Paragraphedeliste"/>
              <w:ind w:left="0"/>
              <w:jc w:val="both"/>
            </w:pPr>
          </w:p>
        </w:tc>
        <w:tc>
          <w:tcPr>
            <w:tcW w:w="431" w:type="pct"/>
            <w:shd w:val="clear" w:color="auto" w:fill="BEBEBE"/>
            <w:vAlign w:val="center"/>
          </w:tcPr>
          <w:p w14:paraId="6061DF5C"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422" w:type="pct"/>
            <w:shd w:val="clear" w:color="auto" w:fill="BEBEBE"/>
            <w:vAlign w:val="center"/>
          </w:tcPr>
          <w:p w14:paraId="25C2B9D2"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410" w:type="pct"/>
            <w:shd w:val="clear" w:color="auto" w:fill="BEBEBE"/>
            <w:vAlign w:val="center"/>
          </w:tcPr>
          <w:p w14:paraId="3A5F6842"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431" w:type="pct"/>
            <w:shd w:val="clear" w:color="auto" w:fill="83CAEB" w:themeFill="accent1" w:themeFillTint="66"/>
            <w:vAlign w:val="center"/>
          </w:tcPr>
          <w:p w14:paraId="792F83F0"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422" w:type="pct"/>
            <w:shd w:val="clear" w:color="auto" w:fill="83CAEB" w:themeFill="accent1" w:themeFillTint="66"/>
            <w:vAlign w:val="center"/>
          </w:tcPr>
          <w:p w14:paraId="2EE597D5"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576" w:type="pct"/>
            <w:shd w:val="clear" w:color="auto" w:fill="83CAEB" w:themeFill="accent1" w:themeFillTint="66"/>
            <w:vAlign w:val="center"/>
          </w:tcPr>
          <w:p w14:paraId="38FE93C8"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819" w:type="pct"/>
            <w:shd w:val="clear" w:color="auto" w:fill="83CAEB" w:themeFill="accent1" w:themeFillTint="66"/>
            <w:vAlign w:val="center"/>
          </w:tcPr>
          <w:p w14:paraId="19782B7D"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A31D0D" w:rsidRPr="00F075F9" w14:paraId="26AA8686" w14:textId="77777777" w:rsidTr="002914FE">
        <w:trPr>
          <w:trHeight w:val="2287"/>
        </w:trPr>
        <w:tc>
          <w:tcPr>
            <w:tcW w:w="909" w:type="pct"/>
            <w:shd w:val="clear" w:color="auto" w:fill="E9E9E9"/>
            <w:vAlign w:val="center"/>
          </w:tcPr>
          <w:p w14:paraId="6AFE1B08" w14:textId="77777777" w:rsidR="00A31D0D" w:rsidRPr="00F075F9" w:rsidRDefault="00A31D0D" w:rsidP="002914FE">
            <w:pPr>
              <w:pStyle w:val="Paragraphedeliste"/>
              <w:ind w:left="0"/>
            </w:pPr>
            <w:r w:rsidRPr="00F075F9">
              <w:rPr>
                <w:rFonts w:asciiTheme="majorHAnsi" w:hAnsiTheme="majorHAnsi"/>
                <w:b/>
                <w:bCs/>
                <w:sz w:val="20"/>
                <w:szCs w:val="20"/>
              </w:rPr>
              <w:t xml:space="preserve">KP-6a Nombre d'hommes ayant des rapports sexuels avec des hommes ayant reçu au moins une fois un produit de </w:t>
            </w:r>
            <w:proofErr w:type="spellStart"/>
            <w:r w:rsidRPr="00F075F9">
              <w:rPr>
                <w:rFonts w:asciiTheme="majorHAnsi" w:hAnsiTheme="majorHAnsi"/>
                <w:b/>
                <w:bCs/>
                <w:sz w:val="20"/>
                <w:szCs w:val="20"/>
              </w:rPr>
              <w:t>PrEP</w:t>
            </w:r>
            <w:proofErr w:type="spellEnd"/>
            <w:r w:rsidRPr="00F075F9">
              <w:rPr>
                <w:rFonts w:asciiTheme="majorHAnsi" w:hAnsiTheme="majorHAnsi"/>
                <w:b/>
                <w:bCs/>
                <w:sz w:val="20"/>
                <w:szCs w:val="20"/>
              </w:rPr>
              <w:t xml:space="preserve"> au cours de la période de rapportage</w:t>
            </w:r>
          </w:p>
        </w:tc>
        <w:tc>
          <w:tcPr>
            <w:tcW w:w="579" w:type="pct"/>
            <w:tcBorders>
              <w:top w:val="single" w:sz="4" w:space="0" w:color="auto"/>
              <w:left w:val="single" w:sz="4" w:space="0" w:color="auto"/>
              <w:bottom w:val="single" w:sz="4" w:space="0" w:color="auto"/>
              <w:right w:val="single" w:sz="4" w:space="0" w:color="auto"/>
            </w:tcBorders>
            <w:vAlign w:val="center"/>
          </w:tcPr>
          <w:p w14:paraId="315FFD2A" w14:textId="77777777" w:rsidR="00A31D0D" w:rsidRPr="00F075F9" w:rsidRDefault="00A31D0D" w:rsidP="002914FE">
            <w:pPr>
              <w:jc w:val="center"/>
            </w:pPr>
            <w:r w:rsidRPr="00F075F9">
              <w:rPr>
                <w:rFonts w:ascii="Aptos Display" w:hAnsi="Aptos Display" w:cs="Calibri"/>
                <w:color w:val="000000"/>
                <w:sz w:val="20"/>
                <w:szCs w:val="20"/>
              </w:rPr>
              <w:t>0</w:t>
            </w:r>
          </w:p>
        </w:tc>
        <w:tc>
          <w:tcPr>
            <w:tcW w:w="431" w:type="pct"/>
            <w:tcBorders>
              <w:top w:val="single" w:sz="4" w:space="0" w:color="auto"/>
              <w:left w:val="single" w:sz="4" w:space="0" w:color="auto"/>
              <w:bottom w:val="single" w:sz="4" w:space="0" w:color="auto"/>
              <w:right w:val="single" w:sz="4" w:space="0" w:color="auto"/>
            </w:tcBorders>
            <w:shd w:val="clear" w:color="000000" w:fill="E7E6E6"/>
            <w:vAlign w:val="center"/>
          </w:tcPr>
          <w:p w14:paraId="4A800674"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1 048</w:t>
            </w:r>
          </w:p>
        </w:tc>
        <w:tc>
          <w:tcPr>
            <w:tcW w:w="422" w:type="pct"/>
            <w:tcBorders>
              <w:top w:val="single" w:sz="4" w:space="0" w:color="auto"/>
              <w:left w:val="nil"/>
              <w:bottom w:val="single" w:sz="4" w:space="0" w:color="auto"/>
              <w:right w:val="single" w:sz="4" w:space="0" w:color="auto"/>
            </w:tcBorders>
            <w:shd w:val="clear" w:color="000000" w:fill="E7E6E6"/>
            <w:vAlign w:val="center"/>
          </w:tcPr>
          <w:p w14:paraId="2C8473F2"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NA</w:t>
            </w:r>
          </w:p>
        </w:tc>
        <w:tc>
          <w:tcPr>
            <w:tcW w:w="410" w:type="pct"/>
            <w:tcBorders>
              <w:top w:val="single" w:sz="4" w:space="0" w:color="auto"/>
              <w:left w:val="nil"/>
              <w:bottom w:val="single" w:sz="4" w:space="0" w:color="auto"/>
              <w:right w:val="single" w:sz="4" w:space="0" w:color="auto"/>
            </w:tcBorders>
            <w:shd w:val="clear" w:color="000000" w:fill="E7E6E6"/>
            <w:vAlign w:val="center"/>
          </w:tcPr>
          <w:p w14:paraId="7060E2A7"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NA </w:t>
            </w:r>
          </w:p>
        </w:tc>
        <w:tc>
          <w:tcPr>
            <w:tcW w:w="431" w:type="pct"/>
            <w:tcBorders>
              <w:top w:val="single" w:sz="4" w:space="0" w:color="auto"/>
              <w:left w:val="nil"/>
              <w:bottom w:val="single" w:sz="4" w:space="0" w:color="auto"/>
              <w:right w:val="single" w:sz="4" w:space="0" w:color="auto"/>
            </w:tcBorders>
            <w:vAlign w:val="center"/>
          </w:tcPr>
          <w:p w14:paraId="4FE41568"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475</w:t>
            </w:r>
          </w:p>
        </w:tc>
        <w:tc>
          <w:tcPr>
            <w:tcW w:w="422" w:type="pct"/>
            <w:tcBorders>
              <w:top w:val="single" w:sz="4" w:space="0" w:color="auto"/>
              <w:left w:val="nil"/>
              <w:bottom w:val="single" w:sz="4" w:space="0" w:color="auto"/>
              <w:right w:val="single" w:sz="4" w:space="0" w:color="auto"/>
            </w:tcBorders>
            <w:vAlign w:val="center"/>
          </w:tcPr>
          <w:p w14:paraId="7C16109E"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NA</w:t>
            </w:r>
          </w:p>
        </w:tc>
        <w:tc>
          <w:tcPr>
            <w:tcW w:w="576" w:type="pct"/>
            <w:tcBorders>
              <w:top w:val="single" w:sz="4" w:space="0" w:color="auto"/>
              <w:left w:val="nil"/>
              <w:bottom w:val="single" w:sz="4" w:space="0" w:color="auto"/>
              <w:right w:val="single" w:sz="4" w:space="0" w:color="auto"/>
            </w:tcBorders>
            <w:vAlign w:val="center"/>
          </w:tcPr>
          <w:p w14:paraId="7588756E" w14:textId="77777777" w:rsidR="00A31D0D" w:rsidRPr="00F075F9" w:rsidRDefault="00A31D0D" w:rsidP="002914FE">
            <w:pPr>
              <w:pStyle w:val="Paragraphedeliste"/>
              <w:ind w:left="0"/>
            </w:pPr>
            <w:r w:rsidRPr="00F075F9">
              <w:rPr>
                <w:rFonts w:ascii="Aptos Display" w:hAnsi="Aptos Display" w:cs="Calibri"/>
                <w:color w:val="000000"/>
                <w:sz w:val="20"/>
                <w:szCs w:val="20"/>
              </w:rPr>
              <w:t>NA</w:t>
            </w:r>
          </w:p>
        </w:tc>
        <w:tc>
          <w:tcPr>
            <w:tcW w:w="819" w:type="pct"/>
            <w:tcBorders>
              <w:top w:val="single" w:sz="4" w:space="0" w:color="auto"/>
              <w:left w:val="single" w:sz="4" w:space="0" w:color="auto"/>
              <w:bottom w:val="single" w:sz="4" w:space="0" w:color="auto"/>
              <w:right w:val="single" w:sz="4" w:space="0" w:color="auto"/>
            </w:tcBorders>
            <w:shd w:val="clear" w:color="000000" w:fill="FFC000"/>
            <w:vAlign w:val="center"/>
          </w:tcPr>
          <w:p w14:paraId="0F0DFCDE"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45,3%</w:t>
            </w:r>
          </w:p>
        </w:tc>
      </w:tr>
    </w:tbl>
    <w:p w14:paraId="76F78D28" w14:textId="77777777" w:rsidR="00A31D0D" w:rsidRPr="00F075F9" w:rsidRDefault="00A31D0D" w:rsidP="00A31D0D">
      <w:pPr>
        <w:jc w:val="both"/>
        <w:rPr>
          <w:b/>
          <w:bCs/>
        </w:rPr>
      </w:pPr>
      <w:r w:rsidRPr="00F075F9">
        <w:t>Source des données : Optima 2.40</w:t>
      </w:r>
    </w:p>
    <w:p w14:paraId="11EF2681" w14:textId="77777777" w:rsidR="00A31D0D" w:rsidRPr="00F075F9" w:rsidRDefault="00A31D0D" w:rsidP="00A31D0D">
      <w:pPr>
        <w:jc w:val="both"/>
      </w:pPr>
      <w:r w:rsidRPr="00F075F9">
        <w:rPr>
          <w:b/>
          <w:bCs/>
        </w:rPr>
        <w:t>Commentaires du PR sur le KP-6a</w:t>
      </w:r>
      <w:r w:rsidRPr="00F075F9">
        <w:t> :</w:t>
      </w:r>
    </w:p>
    <w:p w14:paraId="1EA4D6CA" w14:textId="77777777" w:rsidR="00A31D0D" w:rsidRPr="00F075F9" w:rsidRDefault="00A31D0D" w:rsidP="00A31D0D">
      <w:pPr>
        <w:jc w:val="both"/>
      </w:pPr>
      <w:bookmarkStart w:id="4" w:name="_Hlk205921143"/>
      <w:r w:rsidRPr="00F075F9">
        <w:t xml:space="preserve">Avec une complétude de 100% au cours de cette période sous rapportage, on note que 475 HSH ont reçu la </w:t>
      </w:r>
      <w:proofErr w:type="spellStart"/>
      <w:r w:rsidRPr="00F075F9">
        <w:t>PrEP</w:t>
      </w:r>
      <w:proofErr w:type="spellEnd"/>
      <w:r w:rsidRPr="00F075F9">
        <w:t xml:space="preserve"> contre 1048 attendus soit une performance de 45,3%.</w:t>
      </w:r>
    </w:p>
    <w:bookmarkEnd w:id="4"/>
    <w:p w14:paraId="34D0D881" w14:textId="77777777" w:rsidR="00A31D0D" w:rsidRPr="00F075F9" w:rsidRDefault="00A31D0D" w:rsidP="00A31D0D">
      <w:pPr>
        <w:jc w:val="both"/>
      </w:pPr>
      <w:r w:rsidRPr="00F075F9">
        <w:t>Des ruptures de stock persistantes en combinaison</w:t>
      </w:r>
      <w:r w:rsidRPr="00F075F9">
        <w:rPr>
          <w:color w:val="FF0000"/>
        </w:rPr>
        <w:t xml:space="preserve"> </w:t>
      </w:r>
      <w:bookmarkStart w:id="5" w:name="_Hlk206076988"/>
      <w:r w:rsidRPr="00F075F9">
        <w:t xml:space="preserve">TDF/3TC </w:t>
      </w:r>
      <w:bookmarkEnd w:id="5"/>
      <w:r w:rsidRPr="00F075F9">
        <w:t xml:space="preserve">dans les CC/CI au cours des quatre premiers mois du semestre sont la principale cause de cette contre-performance. A cela s’ajoute une faible compréhension de l’importance de l’intervention par les HSH eux-mêmes, ainsi qu’une faible performance des prestataires sur l’initiation et le suivi de la </w:t>
      </w:r>
      <w:proofErr w:type="spellStart"/>
      <w:r w:rsidRPr="00F075F9">
        <w:t>PrEP</w:t>
      </w:r>
      <w:proofErr w:type="spellEnd"/>
      <w:r w:rsidRPr="00F075F9">
        <w:t>, en dépit du fait que les prestataires de certains centres conviviaux ont été capacités au cours du même semestre.</w:t>
      </w:r>
    </w:p>
    <w:p w14:paraId="4B0E8D87" w14:textId="77777777" w:rsidR="00A31D0D" w:rsidRPr="00F075F9" w:rsidRDefault="00A31D0D" w:rsidP="00A31D0D">
      <w:pPr>
        <w:jc w:val="both"/>
      </w:pPr>
      <w:r w:rsidRPr="00F075F9">
        <w:t>Pour améliorer ce résultat en lien avec cet indicateur, le PR envisage de :</w:t>
      </w:r>
    </w:p>
    <w:p w14:paraId="08584485" w14:textId="77777777" w:rsidR="00A31D0D" w:rsidRPr="00F075F9" w:rsidRDefault="00A31D0D" w:rsidP="00A31D0D">
      <w:pPr>
        <w:pStyle w:val="Paragraphedeliste"/>
        <w:numPr>
          <w:ilvl w:val="0"/>
          <w:numId w:val="26"/>
        </w:numPr>
        <w:jc w:val="both"/>
      </w:pPr>
      <w:r w:rsidRPr="00F075F9">
        <w:t xml:space="preserve">Améliorer la disponibilité de la molécule concernée en veillant qu’elle soit approvisionnée à rythme mensuel comme pour les autres intrants. La molécule TDF/3TC étant disponible en quantité suffisante au pays depuis le trimestre 2 (Au moins 3 mois de disponibilité à ce jour). Des approvisionnements mensuels se feront via les </w:t>
      </w:r>
      <w:proofErr w:type="spellStart"/>
      <w:r w:rsidRPr="00F075F9">
        <w:t>SRs</w:t>
      </w:r>
      <w:proofErr w:type="spellEnd"/>
      <w:r w:rsidRPr="00F075F9">
        <w:t xml:space="preserve">. </w:t>
      </w:r>
    </w:p>
    <w:p w14:paraId="3D4958F1" w14:textId="77777777" w:rsidR="00A31D0D" w:rsidRPr="00F075F9" w:rsidRDefault="00A31D0D" w:rsidP="00A31D0D">
      <w:pPr>
        <w:pStyle w:val="Paragraphedeliste"/>
        <w:numPr>
          <w:ilvl w:val="0"/>
          <w:numId w:val="26"/>
        </w:numPr>
        <w:jc w:val="both"/>
      </w:pPr>
      <w:r w:rsidRPr="00F075F9">
        <w:t xml:space="preserve">Renforcer les supervisions des prestataires sur des services intégrés prenant en compte la </w:t>
      </w:r>
      <w:proofErr w:type="spellStart"/>
      <w:r w:rsidRPr="00F075F9">
        <w:t>PrEP</w:t>
      </w:r>
      <w:proofErr w:type="spellEnd"/>
      <w:r w:rsidRPr="00F075F9">
        <w:t xml:space="preserve"> en faveur des HSH ;</w:t>
      </w:r>
    </w:p>
    <w:p w14:paraId="41E5D8FD" w14:textId="77777777" w:rsidR="00A31D0D" w:rsidRPr="00F075F9" w:rsidRDefault="00A31D0D" w:rsidP="00A31D0D">
      <w:pPr>
        <w:pStyle w:val="Paragraphedeliste"/>
        <w:numPr>
          <w:ilvl w:val="0"/>
          <w:numId w:val="26"/>
        </w:numPr>
        <w:jc w:val="both"/>
      </w:pPr>
      <w:r w:rsidRPr="00F075F9">
        <w:t xml:space="preserve">Organiser des sessions trimestrielles d'orientation des HSH couplée au soutien à l'adhérence et a l’observance à la </w:t>
      </w:r>
      <w:proofErr w:type="spellStart"/>
      <w:r w:rsidRPr="00F075F9">
        <w:t>PrEP</w:t>
      </w:r>
      <w:proofErr w:type="spellEnd"/>
      <w:r w:rsidRPr="00F075F9">
        <w:t xml:space="preserve"> lors des supervisions formatives dans les CC/CI. </w:t>
      </w:r>
    </w:p>
    <w:p w14:paraId="29C227AC" w14:textId="77777777" w:rsidR="00A31D0D" w:rsidRDefault="00A31D0D" w:rsidP="00A31D0D">
      <w:pPr>
        <w:jc w:val="both"/>
      </w:pPr>
    </w:p>
    <w:p w14:paraId="121159D5" w14:textId="77777777" w:rsidR="00C86685" w:rsidRPr="00F075F9" w:rsidRDefault="00C86685" w:rsidP="00A31D0D">
      <w:pPr>
        <w:jc w:val="both"/>
      </w:pPr>
    </w:p>
    <w:p w14:paraId="3B803AD4" w14:textId="0963839C" w:rsidR="00A31D0D" w:rsidRPr="00F075F9" w:rsidRDefault="00A31D0D" w:rsidP="00A31D0D">
      <w:pPr>
        <w:pStyle w:val="Paragraphedeliste"/>
        <w:jc w:val="both"/>
      </w:pPr>
      <w:r w:rsidRPr="00F075F9">
        <w:rPr>
          <w:color w:val="000000" w:themeColor="text1"/>
        </w:rPr>
        <w:t xml:space="preserve">                                                                         </w:t>
      </w:r>
    </w:p>
    <w:tbl>
      <w:tblPr>
        <w:tblStyle w:val="Grilledutableau"/>
        <w:tblW w:w="4972" w:type="pct"/>
        <w:tblLook w:val="04A0" w:firstRow="1" w:lastRow="0" w:firstColumn="1" w:lastColumn="0" w:noHBand="0" w:noVBand="1"/>
      </w:tblPr>
      <w:tblGrid>
        <w:gridCol w:w="1573"/>
        <w:gridCol w:w="976"/>
        <w:gridCol w:w="889"/>
        <w:gridCol w:w="828"/>
        <w:gridCol w:w="746"/>
        <w:gridCol w:w="846"/>
        <w:gridCol w:w="949"/>
        <w:gridCol w:w="746"/>
        <w:gridCol w:w="1413"/>
      </w:tblGrid>
      <w:tr w:rsidR="00A31D0D" w:rsidRPr="00F075F9" w14:paraId="0C43DEF2" w14:textId="77777777" w:rsidTr="002914FE">
        <w:trPr>
          <w:trHeight w:val="496"/>
        </w:trPr>
        <w:tc>
          <w:tcPr>
            <w:tcW w:w="877" w:type="pct"/>
            <w:vMerge w:val="restart"/>
          </w:tcPr>
          <w:p w14:paraId="415DB49A"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lastRenderedPageBreak/>
              <w:t>Indicateur</w:t>
            </w:r>
          </w:p>
        </w:tc>
        <w:tc>
          <w:tcPr>
            <w:tcW w:w="544" w:type="pct"/>
            <w:vMerge w:val="restart"/>
            <w:shd w:val="clear" w:color="auto" w:fill="BEBEBE"/>
          </w:tcPr>
          <w:p w14:paraId="42E64CC4"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1374" w:type="pct"/>
            <w:gridSpan w:val="3"/>
            <w:shd w:val="clear" w:color="auto" w:fill="BEBEBE"/>
            <w:vAlign w:val="center"/>
          </w:tcPr>
          <w:p w14:paraId="181BC65C"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2205" w:type="pct"/>
            <w:gridSpan w:val="4"/>
            <w:shd w:val="clear" w:color="auto" w:fill="83CAEB" w:themeFill="accent1" w:themeFillTint="66"/>
            <w:vAlign w:val="center"/>
          </w:tcPr>
          <w:p w14:paraId="7C957203" w14:textId="77777777" w:rsidR="00A31D0D" w:rsidRPr="00F075F9" w:rsidRDefault="00A31D0D"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Résultats S1 2025</w:t>
            </w:r>
          </w:p>
        </w:tc>
      </w:tr>
      <w:tr w:rsidR="00A31D0D" w:rsidRPr="00F075F9" w14:paraId="5354B235" w14:textId="77777777" w:rsidTr="002914FE">
        <w:trPr>
          <w:trHeight w:val="146"/>
        </w:trPr>
        <w:tc>
          <w:tcPr>
            <w:tcW w:w="877" w:type="pct"/>
            <w:vMerge/>
          </w:tcPr>
          <w:p w14:paraId="22CC9526" w14:textId="77777777" w:rsidR="00A31D0D" w:rsidRPr="00F075F9" w:rsidRDefault="00A31D0D" w:rsidP="002914FE">
            <w:pPr>
              <w:pStyle w:val="Paragraphedeliste"/>
              <w:ind w:left="0"/>
              <w:jc w:val="both"/>
            </w:pPr>
          </w:p>
        </w:tc>
        <w:tc>
          <w:tcPr>
            <w:tcW w:w="544" w:type="pct"/>
            <w:vMerge/>
          </w:tcPr>
          <w:p w14:paraId="1D82A53A" w14:textId="77777777" w:rsidR="00A31D0D" w:rsidRPr="00F075F9" w:rsidRDefault="00A31D0D" w:rsidP="002914FE">
            <w:pPr>
              <w:pStyle w:val="Paragraphedeliste"/>
              <w:ind w:left="0"/>
              <w:jc w:val="both"/>
            </w:pPr>
          </w:p>
        </w:tc>
        <w:tc>
          <w:tcPr>
            <w:tcW w:w="496" w:type="pct"/>
            <w:shd w:val="clear" w:color="auto" w:fill="BEBEBE"/>
            <w:vAlign w:val="center"/>
          </w:tcPr>
          <w:p w14:paraId="3809746B"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462" w:type="pct"/>
            <w:shd w:val="clear" w:color="auto" w:fill="BEBEBE"/>
            <w:vAlign w:val="center"/>
          </w:tcPr>
          <w:p w14:paraId="5DC3F83F"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416" w:type="pct"/>
            <w:shd w:val="clear" w:color="auto" w:fill="BEBEBE"/>
            <w:vAlign w:val="center"/>
          </w:tcPr>
          <w:p w14:paraId="42177EC0"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472" w:type="pct"/>
            <w:shd w:val="clear" w:color="auto" w:fill="83CAEB" w:themeFill="accent1" w:themeFillTint="66"/>
            <w:vAlign w:val="center"/>
          </w:tcPr>
          <w:p w14:paraId="1A665AE0"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529" w:type="pct"/>
            <w:shd w:val="clear" w:color="auto" w:fill="83CAEB" w:themeFill="accent1" w:themeFillTint="66"/>
            <w:vAlign w:val="center"/>
          </w:tcPr>
          <w:p w14:paraId="63B91605"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416" w:type="pct"/>
            <w:shd w:val="clear" w:color="auto" w:fill="83CAEB" w:themeFill="accent1" w:themeFillTint="66"/>
            <w:vAlign w:val="center"/>
          </w:tcPr>
          <w:p w14:paraId="4E8EA511"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788" w:type="pct"/>
            <w:shd w:val="clear" w:color="auto" w:fill="83CAEB" w:themeFill="accent1" w:themeFillTint="66"/>
            <w:vAlign w:val="center"/>
          </w:tcPr>
          <w:p w14:paraId="515F628E"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A31D0D" w:rsidRPr="00F075F9" w14:paraId="731BEEF2" w14:textId="77777777" w:rsidTr="002914FE">
        <w:trPr>
          <w:trHeight w:val="2287"/>
        </w:trPr>
        <w:tc>
          <w:tcPr>
            <w:tcW w:w="877" w:type="pct"/>
            <w:shd w:val="clear" w:color="auto" w:fill="E9E9E9"/>
            <w:vAlign w:val="center"/>
          </w:tcPr>
          <w:p w14:paraId="7345862C" w14:textId="77777777" w:rsidR="00A31D0D" w:rsidRPr="00F075F9" w:rsidRDefault="00A31D0D" w:rsidP="002914FE">
            <w:pPr>
              <w:pStyle w:val="Paragraphedeliste"/>
              <w:ind w:left="0"/>
              <w:rPr>
                <w:sz w:val="20"/>
                <w:szCs w:val="20"/>
              </w:rPr>
            </w:pPr>
            <w:r w:rsidRPr="00F075F9">
              <w:rPr>
                <w:b/>
                <w:bCs/>
                <w:sz w:val="20"/>
                <w:szCs w:val="20"/>
              </w:rPr>
              <w:t>KP-1c Pourcentage de professionnels du sexe ayant bénéficié de programmes préventifs de lutte contre le VIH (paquet de services définis)</w:t>
            </w:r>
          </w:p>
        </w:tc>
        <w:tc>
          <w:tcPr>
            <w:tcW w:w="544" w:type="pct"/>
            <w:tcBorders>
              <w:top w:val="single" w:sz="4" w:space="0" w:color="auto"/>
              <w:left w:val="single" w:sz="4" w:space="0" w:color="auto"/>
              <w:bottom w:val="single" w:sz="4" w:space="0" w:color="auto"/>
              <w:right w:val="single" w:sz="4" w:space="0" w:color="auto"/>
            </w:tcBorders>
            <w:vAlign w:val="center"/>
          </w:tcPr>
          <w:p w14:paraId="4D394DE7"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6759</w:t>
            </w:r>
          </w:p>
        </w:tc>
        <w:tc>
          <w:tcPr>
            <w:tcW w:w="496" w:type="pct"/>
            <w:tcBorders>
              <w:top w:val="single" w:sz="4" w:space="0" w:color="auto"/>
              <w:left w:val="single" w:sz="4" w:space="0" w:color="auto"/>
              <w:bottom w:val="single" w:sz="4" w:space="0" w:color="auto"/>
              <w:right w:val="single" w:sz="4" w:space="0" w:color="auto"/>
            </w:tcBorders>
            <w:shd w:val="clear" w:color="000000" w:fill="E7E6E6"/>
            <w:vAlign w:val="center"/>
          </w:tcPr>
          <w:p w14:paraId="2A6E83F1" w14:textId="77777777" w:rsidR="00A31D0D" w:rsidRPr="00F075F9" w:rsidRDefault="00A31D0D" w:rsidP="002914FE">
            <w:pPr>
              <w:pStyle w:val="Paragraphedeliste"/>
              <w:ind w:left="0"/>
              <w:jc w:val="both"/>
              <w:rPr>
                <w:sz w:val="18"/>
                <w:szCs w:val="18"/>
              </w:rPr>
            </w:pPr>
            <w:r w:rsidRPr="00F075F9">
              <w:rPr>
                <w:rFonts w:ascii="Aptos Display" w:hAnsi="Aptos Display" w:cs="Calibri"/>
                <w:color w:val="000000"/>
                <w:sz w:val="18"/>
                <w:szCs w:val="18"/>
              </w:rPr>
              <w:t>22 964</w:t>
            </w:r>
          </w:p>
        </w:tc>
        <w:tc>
          <w:tcPr>
            <w:tcW w:w="462" w:type="pct"/>
            <w:tcBorders>
              <w:top w:val="single" w:sz="4" w:space="0" w:color="auto"/>
              <w:left w:val="nil"/>
              <w:bottom w:val="single" w:sz="4" w:space="0" w:color="auto"/>
              <w:right w:val="single" w:sz="4" w:space="0" w:color="auto"/>
            </w:tcBorders>
            <w:shd w:val="clear" w:color="000000" w:fill="E7E6E6"/>
            <w:vAlign w:val="center"/>
          </w:tcPr>
          <w:p w14:paraId="6CC8730A" w14:textId="77777777" w:rsidR="00A31D0D" w:rsidRPr="00F075F9" w:rsidRDefault="00A31D0D" w:rsidP="002914FE">
            <w:pPr>
              <w:pStyle w:val="Paragraphedeliste"/>
              <w:ind w:left="0"/>
              <w:jc w:val="both"/>
              <w:rPr>
                <w:sz w:val="18"/>
                <w:szCs w:val="18"/>
              </w:rPr>
            </w:pPr>
            <w:r w:rsidRPr="00F075F9">
              <w:rPr>
                <w:rFonts w:ascii="Aptos Display" w:hAnsi="Aptos Display" w:cs="Calibri"/>
                <w:color w:val="000000"/>
                <w:sz w:val="18"/>
                <w:szCs w:val="18"/>
              </w:rPr>
              <w:t>326 184</w:t>
            </w:r>
          </w:p>
        </w:tc>
        <w:tc>
          <w:tcPr>
            <w:tcW w:w="416" w:type="pct"/>
            <w:tcBorders>
              <w:top w:val="single" w:sz="4" w:space="0" w:color="auto"/>
              <w:left w:val="nil"/>
              <w:bottom w:val="single" w:sz="4" w:space="0" w:color="auto"/>
              <w:right w:val="single" w:sz="4" w:space="0" w:color="auto"/>
            </w:tcBorders>
            <w:shd w:val="clear" w:color="000000" w:fill="E7E6E6"/>
            <w:vAlign w:val="center"/>
          </w:tcPr>
          <w:p w14:paraId="60F23334"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7,04%</w:t>
            </w:r>
          </w:p>
        </w:tc>
        <w:tc>
          <w:tcPr>
            <w:tcW w:w="472" w:type="pct"/>
            <w:tcBorders>
              <w:top w:val="single" w:sz="4" w:space="0" w:color="auto"/>
              <w:left w:val="nil"/>
              <w:bottom w:val="single" w:sz="4" w:space="0" w:color="auto"/>
              <w:right w:val="single" w:sz="4" w:space="0" w:color="auto"/>
            </w:tcBorders>
            <w:vAlign w:val="center"/>
          </w:tcPr>
          <w:p w14:paraId="46A3335F" w14:textId="77777777" w:rsidR="00A31D0D" w:rsidRPr="00F075F9" w:rsidRDefault="00A31D0D" w:rsidP="002914FE">
            <w:pPr>
              <w:pStyle w:val="Paragraphedeliste"/>
              <w:ind w:left="0"/>
              <w:jc w:val="both"/>
            </w:pPr>
            <w:bookmarkStart w:id="6" w:name="_Hlk205913158"/>
            <w:r w:rsidRPr="00F075F9">
              <w:rPr>
                <w:rFonts w:ascii="Aptos Display" w:hAnsi="Aptos Display" w:cs="Calibri"/>
                <w:color w:val="000000"/>
                <w:sz w:val="20"/>
                <w:szCs w:val="20"/>
              </w:rPr>
              <w:t>22 201</w:t>
            </w:r>
            <w:bookmarkEnd w:id="6"/>
          </w:p>
        </w:tc>
        <w:tc>
          <w:tcPr>
            <w:tcW w:w="529" w:type="pct"/>
            <w:tcBorders>
              <w:top w:val="single" w:sz="4" w:space="0" w:color="auto"/>
              <w:left w:val="nil"/>
              <w:bottom w:val="single" w:sz="4" w:space="0" w:color="auto"/>
              <w:right w:val="single" w:sz="4" w:space="0" w:color="auto"/>
            </w:tcBorders>
            <w:vAlign w:val="center"/>
          </w:tcPr>
          <w:p w14:paraId="7DF6A969"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326 184</w:t>
            </w:r>
          </w:p>
        </w:tc>
        <w:tc>
          <w:tcPr>
            <w:tcW w:w="416" w:type="pct"/>
            <w:tcBorders>
              <w:top w:val="single" w:sz="4" w:space="0" w:color="auto"/>
              <w:left w:val="nil"/>
              <w:bottom w:val="single" w:sz="4" w:space="0" w:color="auto"/>
              <w:right w:val="single" w:sz="4" w:space="0" w:color="auto"/>
            </w:tcBorders>
            <w:vAlign w:val="center"/>
          </w:tcPr>
          <w:p w14:paraId="7ACE228B"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6,81%</w:t>
            </w:r>
          </w:p>
        </w:tc>
        <w:tc>
          <w:tcPr>
            <w:tcW w:w="788" w:type="pct"/>
            <w:tcBorders>
              <w:top w:val="single" w:sz="4" w:space="0" w:color="auto"/>
              <w:left w:val="single" w:sz="4" w:space="0" w:color="auto"/>
              <w:bottom w:val="single" w:sz="4" w:space="0" w:color="auto"/>
              <w:right w:val="single" w:sz="4" w:space="0" w:color="auto"/>
            </w:tcBorders>
            <w:shd w:val="clear" w:color="000000" w:fill="A9D08E"/>
            <w:vAlign w:val="center"/>
          </w:tcPr>
          <w:p w14:paraId="51102302"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96,7%</w:t>
            </w:r>
          </w:p>
        </w:tc>
      </w:tr>
    </w:tbl>
    <w:p w14:paraId="11AAB759" w14:textId="77777777" w:rsidR="00A31D0D" w:rsidRPr="00F075F9" w:rsidRDefault="00A31D0D" w:rsidP="00A31D0D">
      <w:pPr>
        <w:jc w:val="both"/>
      </w:pPr>
      <w:r w:rsidRPr="00F075F9">
        <w:t>Source des données : Optima 2.40</w:t>
      </w:r>
    </w:p>
    <w:p w14:paraId="5D488781" w14:textId="77777777" w:rsidR="00A31D0D" w:rsidRPr="00F075F9" w:rsidRDefault="00A31D0D" w:rsidP="00A31D0D">
      <w:pPr>
        <w:jc w:val="both"/>
      </w:pPr>
      <w:r w:rsidRPr="00F075F9">
        <w:rPr>
          <w:b/>
          <w:bCs/>
        </w:rPr>
        <w:t>Commentaires du PR sur le KP-1c</w:t>
      </w:r>
    </w:p>
    <w:p w14:paraId="42834637" w14:textId="77777777" w:rsidR="00A31D0D" w:rsidRPr="00F075F9" w:rsidRDefault="00A31D0D" w:rsidP="00A31D0D">
      <w:pPr>
        <w:jc w:val="both"/>
      </w:pPr>
      <w:r w:rsidRPr="00F075F9">
        <w:t>Ces données se rapportent à la période allant de janvier à juin 2025 avec une complétude de rapport de 100% selon OPTIMA. Au total, 22 201 PS ont bénéficié des programmes de prévention de du VIH contre 22 964 attendus, soit une performance de 97,8%.</w:t>
      </w:r>
    </w:p>
    <w:p w14:paraId="41298A77" w14:textId="77777777" w:rsidR="00A31D0D" w:rsidRPr="00F075F9" w:rsidRDefault="00A31D0D" w:rsidP="00A31D0D">
      <w:pPr>
        <w:jc w:val="both"/>
      </w:pPr>
      <w:r w:rsidRPr="00F075F9">
        <w:t>Le mode de calcul est le même que pour l’indicateur KP-1a et les mêmes raisons.</w:t>
      </w:r>
    </w:p>
    <w:p w14:paraId="71B1D2F1" w14:textId="77777777" w:rsidR="00A31D0D" w:rsidRPr="00F075F9" w:rsidRDefault="00A31D0D" w:rsidP="00A31D0D">
      <w:pPr>
        <w:jc w:val="both"/>
      </w:pPr>
      <w:r w:rsidRPr="00F075F9">
        <w:t xml:space="preserve">Comparées aux performances de S1 2024 ou 30 040 PS ont été touchées par cette intervention, on note une régression vraisemblablement liée aux stocks limités d’intrants de prévention, lesquels créent généralement un attrait des populations clés pour ces services. </w:t>
      </w:r>
    </w:p>
    <w:p w14:paraId="4DF64DFA" w14:textId="77777777" w:rsidR="00A31D0D" w:rsidRPr="00F075F9" w:rsidRDefault="00A31D0D" w:rsidP="00A31D0D">
      <w:pPr>
        <w:jc w:val="both"/>
      </w:pPr>
      <w:r w:rsidRPr="00F075F9">
        <w:t xml:space="preserve">La répartition de performances dans chacune de 15 provinces couvertes par l’intervention reste inégale et la contribution de chacune d’elles est la suivante : Kinshasa avec 26%, suivie du Sud Kivu avec 10%, Kasaï oriental 9%, Ituri et </w:t>
      </w:r>
      <w:proofErr w:type="spellStart"/>
      <w:r w:rsidRPr="00F075F9">
        <w:t>Tshopo</w:t>
      </w:r>
      <w:proofErr w:type="spellEnd"/>
      <w:r w:rsidRPr="00F075F9">
        <w:t xml:space="preserve"> 8% chacune, Maniema 7%, Kongo central, Nord Kivu et Tanganyika 6% chacune ; Equateur et Lomami 4% chacune ; Kwilu 3%, et Kasaï, </w:t>
      </w:r>
      <w:proofErr w:type="spellStart"/>
      <w:r w:rsidRPr="00F075F9">
        <w:t>Mongala</w:t>
      </w:r>
      <w:proofErr w:type="spellEnd"/>
      <w:r w:rsidRPr="00F075F9">
        <w:t xml:space="preserve"> et Kasaï central avec 2% chacune.</w:t>
      </w:r>
    </w:p>
    <w:p w14:paraId="7D1A5558" w14:textId="7F940F1D" w:rsidR="00A31D0D" w:rsidRPr="00F075F9" w:rsidRDefault="00A31D0D" w:rsidP="00A31D0D">
      <w:pPr>
        <w:jc w:val="both"/>
      </w:pPr>
      <w:r w:rsidRPr="00F075F9">
        <w:t>Les mesures envisagées pour l’amélioration des performances et de la qualité aussi bien des services que des données générées sont les mêmes que celles proposées pour le KP-1</w:t>
      </w:r>
      <w:r w:rsidR="002604BC">
        <w:t>a</w:t>
      </w:r>
      <w:r w:rsidRPr="00F075F9">
        <w:t>.</w:t>
      </w:r>
    </w:p>
    <w:p w14:paraId="764915E3" w14:textId="77777777" w:rsidR="00A31D0D" w:rsidRPr="00F075F9" w:rsidRDefault="00A31D0D" w:rsidP="00A31D0D">
      <w:pPr>
        <w:jc w:val="both"/>
        <w:rPr>
          <w:b/>
          <w:bCs/>
        </w:rPr>
      </w:pPr>
    </w:p>
    <w:p w14:paraId="6CD9AEA8" w14:textId="77777777" w:rsidR="00A31D0D" w:rsidRPr="00F075F9" w:rsidRDefault="00A31D0D" w:rsidP="00A31D0D">
      <w:pPr>
        <w:jc w:val="both"/>
        <w:rPr>
          <w:b/>
          <w:bCs/>
        </w:rPr>
      </w:pPr>
    </w:p>
    <w:p w14:paraId="760E5359" w14:textId="77777777" w:rsidR="00A31D0D" w:rsidRPr="00F075F9" w:rsidRDefault="00A31D0D" w:rsidP="00A31D0D">
      <w:pPr>
        <w:jc w:val="both"/>
        <w:rPr>
          <w:b/>
          <w:bCs/>
        </w:rPr>
      </w:pPr>
    </w:p>
    <w:p w14:paraId="1EA061F7" w14:textId="77777777" w:rsidR="00A31D0D" w:rsidRPr="00F075F9" w:rsidRDefault="00A31D0D" w:rsidP="00A31D0D">
      <w:pPr>
        <w:jc w:val="both"/>
        <w:rPr>
          <w:b/>
          <w:bCs/>
        </w:rPr>
      </w:pPr>
    </w:p>
    <w:p w14:paraId="09DAF21D" w14:textId="77777777" w:rsidR="00A31D0D" w:rsidRPr="00F075F9" w:rsidRDefault="00A31D0D" w:rsidP="00A31D0D">
      <w:pPr>
        <w:jc w:val="both"/>
        <w:rPr>
          <w:b/>
          <w:bCs/>
        </w:rPr>
      </w:pPr>
    </w:p>
    <w:p w14:paraId="2F86EA8C" w14:textId="77777777" w:rsidR="00A31D0D" w:rsidRPr="00F075F9" w:rsidRDefault="00A31D0D" w:rsidP="00A31D0D">
      <w:pPr>
        <w:jc w:val="both"/>
        <w:rPr>
          <w:b/>
          <w:bCs/>
        </w:rPr>
      </w:pPr>
    </w:p>
    <w:tbl>
      <w:tblPr>
        <w:tblStyle w:val="Grilledutableau"/>
        <w:tblW w:w="8375" w:type="dxa"/>
        <w:tblInd w:w="-289" w:type="dxa"/>
        <w:tblLook w:val="04A0" w:firstRow="1" w:lastRow="0" w:firstColumn="1" w:lastColumn="0" w:noHBand="0" w:noVBand="1"/>
      </w:tblPr>
      <w:tblGrid>
        <w:gridCol w:w="2146"/>
        <w:gridCol w:w="981"/>
        <w:gridCol w:w="704"/>
        <w:gridCol w:w="691"/>
        <w:gridCol w:w="673"/>
        <w:gridCol w:w="704"/>
        <w:gridCol w:w="614"/>
        <w:gridCol w:w="538"/>
        <w:gridCol w:w="1324"/>
      </w:tblGrid>
      <w:tr w:rsidR="00A31D0D" w:rsidRPr="00F075F9" w14:paraId="2DE6CCF8" w14:textId="77777777" w:rsidTr="002914FE">
        <w:trPr>
          <w:trHeight w:val="496"/>
        </w:trPr>
        <w:tc>
          <w:tcPr>
            <w:tcW w:w="2146" w:type="dxa"/>
            <w:vMerge w:val="restart"/>
          </w:tcPr>
          <w:p w14:paraId="65E0D68C"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lastRenderedPageBreak/>
              <w:t>Indicateur</w:t>
            </w:r>
          </w:p>
        </w:tc>
        <w:tc>
          <w:tcPr>
            <w:tcW w:w="981" w:type="dxa"/>
            <w:vMerge w:val="restart"/>
            <w:shd w:val="clear" w:color="auto" w:fill="BEBEBE"/>
          </w:tcPr>
          <w:p w14:paraId="7D93A2F4" w14:textId="77777777" w:rsidR="00A31D0D" w:rsidRPr="00F075F9" w:rsidRDefault="00A31D0D"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2068" w:type="dxa"/>
            <w:gridSpan w:val="3"/>
            <w:shd w:val="clear" w:color="auto" w:fill="BEBEBE"/>
            <w:vAlign w:val="center"/>
          </w:tcPr>
          <w:p w14:paraId="23DF72A3"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180" w:type="dxa"/>
            <w:gridSpan w:val="4"/>
            <w:shd w:val="clear" w:color="auto" w:fill="83CAEB" w:themeFill="accent1" w:themeFillTint="66"/>
            <w:vAlign w:val="center"/>
          </w:tcPr>
          <w:p w14:paraId="4E3DA4C4" w14:textId="77777777" w:rsidR="00A31D0D" w:rsidRPr="00F075F9" w:rsidRDefault="00A31D0D"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Résultats S1 2025</w:t>
            </w:r>
          </w:p>
        </w:tc>
      </w:tr>
      <w:tr w:rsidR="00A31D0D" w:rsidRPr="00F075F9" w14:paraId="2789E63C" w14:textId="77777777" w:rsidTr="002914FE">
        <w:trPr>
          <w:trHeight w:val="146"/>
        </w:trPr>
        <w:tc>
          <w:tcPr>
            <w:tcW w:w="2146" w:type="dxa"/>
            <w:vMerge/>
          </w:tcPr>
          <w:p w14:paraId="0A5210CD" w14:textId="77777777" w:rsidR="00A31D0D" w:rsidRPr="00F075F9" w:rsidRDefault="00A31D0D" w:rsidP="002914FE">
            <w:pPr>
              <w:pStyle w:val="Paragraphedeliste"/>
              <w:ind w:left="0"/>
              <w:jc w:val="both"/>
            </w:pPr>
          </w:p>
        </w:tc>
        <w:tc>
          <w:tcPr>
            <w:tcW w:w="981" w:type="dxa"/>
            <w:vMerge/>
          </w:tcPr>
          <w:p w14:paraId="095B3FA0" w14:textId="77777777" w:rsidR="00A31D0D" w:rsidRPr="00F075F9" w:rsidRDefault="00A31D0D" w:rsidP="002914FE">
            <w:pPr>
              <w:pStyle w:val="Paragraphedeliste"/>
              <w:ind w:left="0"/>
              <w:jc w:val="center"/>
            </w:pPr>
          </w:p>
        </w:tc>
        <w:tc>
          <w:tcPr>
            <w:tcW w:w="704" w:type="dxa"/>
            <w:shd w:val="clear" w:color="auto" w:fill="BEBEBE"/>
            <w:vAlign w:val="center"/>
          </w:tcPr>
          <w:p w14:paraId="0CA4849E"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691" w:type="dxa"/>
            <w:shd w:val="clear" w:color="auto" w:fill="BEBEBE"/>
            <w:vAlign w:val="center"/>
          </w:tcPr>
          <w:p w14:paraId="1E804A50"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673" w:type="dxa"/>
            <w:shd w:val="clear" w:color="auto" w:fill="BEBEBE"/>
            <w:vAlign w:val="center"/>
          </w:tcPr>
          <w:p w14:paraId="3AAF9948"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704" w:type="dxa"/>
            <w:shd w:val="clear" w:color="auto" w:fill="83CAEB" w:themeFill="accent1" w:themeFillTint="66"/>
            <w:vAlign w:val="center"/>
          </w:tcPr>
          <w:p w14:paraId="7D983E29"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614" w:type="dxa"/>
            <w:shd w:val="clear" w:color="auto" w:fill="83CAEB" w:themeFill="accent1" w:themeFillTint="66"/>
            <w:vAlign w:val="center"/>
          </w:tcPr>
          <w:p w14:paraId="5495B762"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538" w:type="dxa"/>
            <w:shd w:val="clear" w:color="auto" w:fill="83CAEB" w:themeFill="accent1" w:themeFillTint="66"/>
            <w:vAlign w:val="center"/>
          </w:tcPr>
          <w:p w14:paraId="0EA91A9F"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1324" w:type="dxa"/>
            <w:shd w:val="clear" w:color="auto" w:fill="83CAEB" w:themeFill="accent1" w:themeFillTint="66"/>
            <w:vAlign w:val="center"/>
          </w:tcPr>
          <w:p w14:paraId="086F0E72"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A31D0D" w:rsidRPr="00F075F9" w14:paraId="23A667B1" w14:textId="77777777" w:rsidTr="002914FE">
        <w:trPr>
          <w:trHeight w:val="2287"/>
        </w:trPr>
        <w:tc>
          <w:tcPr>
            <w:tcW w:w="2146" w:type="dxa"/>
            <w:shd w:val="clear" w:color="auto" w:fill="E9E9E9"/>
            <w:vAlign w:val="center"/>
          </w:tcPr>
          <w:p w14:paraId="705255D3" w14:textId="77777777" w:rsidR="00A31D0D" w:rsidRPr="00F075F9" w:rsidRDefault="00A31D0D" w:rsidP="002914FE">
            <w:pPr>
              <w:pStyle w:val="Paragraphedeliste"/>
              <w:ind w:left="0"/>
            </w:pPr>
            <w:r w:rsidRPr="00F075F9">
              <w:rPr>
                <w:b/>
                <w:bCs/>
              </w:rPr>
              <w:t xml:space="preserve">KP-6c Nombre de travailleurs et travailleuses du sexe ayant reçu au moins une fois un produit de </w:t>
            </w:r>
            <w:proofErr w:type="spellStart"/>
            <w:r w:rsidRPr="00F075F9">
              <w:rPr>
                <w:b/>
                <w:bCs/>
              </w:rPr>
              <w:t>PrEP</w:t>
            </w:r>
            <w:proofErr w:type="spellEnd"/>
            <w:r w:rsidRPr="00F075F9">
              <w:rPr>
                <w:b/>
                <w:bCs/>
              </w:rPr>
              <w:t xml:space="preserve"> au cours de la période de rapportage</w:t>
            </w:r>
          </w:p>
        </w:tc>
        <w:tc>
          <w:tcPr>
            <w:tcW w:w="981" w:type="dxa"/>
            <w:tcBorders>
              <w:top w:val="single" w:sz="4" w:space="0" w:color="auto"/>
              <w:left w:val="single" w:sz="4" w:space="0" w:color="auto"/>
              <w:bottom w:val="single" w:sz="4" w:space="0" w:color="auto"/>
              <w:right w:val="single" w:sz="4" w:space="0" w:color="auto"/>
            </w:tcBorders>
            <w:vAlign w:val="center"/>
          </w:tcPr>
          <w:p w14:paraId="21B36B2D"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0</w:t>
            </w:r>
          </w:p>
        </w:tc>
        <w:tc>
          <w:tcPr>
            <w:tcW w:w="704" w:type="dxa"/>
            <w:tcBorders>
              <w:top w:val="single" w:sz="4" w:space="0" w:color="auto"/>
              <w:left w:val="single" w:sz="4" w:space="0" w:color="auto"/>
              <w:bottom w:val="single" w:sz="4" w:space="0" w:color="auto"/>
              <w:right w:val="single" w:sz="4" w:space="0" w:color="auto"/>
            </w:tcBorders>
            <w:shd w:val="clear" w:color="000000" w:fill="E7E6E6"/>
            <w:vAlign w:val="center"/>
          </w:tcPr>
          <w:p w14:paraId="7B2369FF"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1 290</w:t>
            </w:r>
          </w:p>
        </w:tc>
        <w:tc>
          <w:tcPr>
            <w:tcW w:w="691" w:type="dxa"/>
            <w:tcBorders>
              <w:top w:val="single" w:sz="4" w:space="0" w:color="auto"/>
              <w:left w:val="nil"/>
              <w:bottom w:val="single" w:sz="4" w:space="0" w:color="auto"/>
              <w:right w:val="single" w:sz="4" w:space="0" w:color="auto"/>
            </w:tcBorders>
            <w:shd w:val="clear" w:color="000000" w:fill="E7E6E6"/>
            <w:vAlign w:val="center"/>
          </w:tcPr>
          <w:p w14:paraId="18A654E0"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NA</w:t>
            </w:r>
          </w:p>
        </w:tc>
        <w:tc>
          <w:tcPr>
            <w:tcW w:w="673" w:type="dxa"/>
            <w:tcBorders>
              <w:top w:val="single" w:sz="4" w:space="0" w:color="auto"/>
              <w:left w:val="nil"/>
              <w:bottom w:val="single" w:sz="4" w:space="0" w:color="auto"/>
              <w:right w:val="single" w:sz="4" w:space="0" w:color="auto"/>
            </w:tcBorders>
            <w:shd w:val="clear" w:color="000000" w:fill="E7E6E6"/>
            <w:vAlign w:val="center"/>
          </w:tcPr>
          <w:p w14:paraId="4012C4F4"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 NA</w:t>
            </w:r>
          </w:p>
        </w:tc>
        <w:tc>
          <w:tcPr>
            <w:tcW w:w="704" w:type="dxa"/>
            <w:tcBorders>
              <w:top w:val="single" w:sz="4" w:space="0" w:color="auto"/>
              <w:left w:val="nil"/>
              <w:bottom w:val="single" w:sz="4" w:space="0" w:color="auto"/>
              <w:right w:val="single" w:sz="4" w:space="0" w:color="auto"/>
            </w:tcBorders>
            <w:vAlign w:val="center"/>
          </w:tcPr>
          <w:p w14:paraId="2B1AAB98"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1020</w:t>
            </w:r>
          </w:p>
        </w:tc>
        <w:tc>
          <w:tcPr>
            <w:tcW w:w="614" w:type="dxa"/>
            <w:tcBorders>
              <w:top w:val="single" w:sz="4" w:space="0" w:color="auto"/>
              <w:left w:val="nil"/>
              <w:bottom w:val="single" w:sz="4" w:space="0" w:color="auto"/>
              <w:right w:val="single" w:sz="4" w:space="0" w:color="auto"/>
            </w:tcBorders>
            <w:vAlign w:val="center"/>
          </w:tcPr>
          <w:p w14:paraId="3935AFB9"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 NA</w:t>
            </w:r>
          </w:p>
        </w:tc>
        <w:tc>
          <w:tcPr>
            <w:tcW w:w="538" w:type="dxa"/>
            <w:tcBorders>
              <w:top w:val="single" w:sz="4" w:space="0" w:color="auto"/>
              <w:left w:val="nil"/>
              <w:bottom w:val="single" w:sz="4" w:space="0" w:color="auto"/>
              <w:right w:val="single" w:sz="4" w:space="0" w:color="auto"/>
            </w:tcBorders>
            <w:vAlign w:val="center"/>
          </w:tcPr>
          <w:p w14:paraId="5BA32D50"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 NA</w:t>
            </w:r>
          </w:p>
        </w:tc>
        <w:tc>
          <w:tcPr>
            <w:tcW w:w="1324" w:type="dxa"/>
            <w:tcBorders>
              <w:top w:val="single" w:sz="4" w:space="0" w:color="auto"/>
              <w:left w:val="single" w:sz="4" w:space="0" w:color="auto"/>
              <w:bottom w:val="single" w:sz="4" w:space="0" w:color="auto"/>
              <w:right w:val="single" w:sz="4" w:space="0" w:color="auto"/>
            </w:tcBorders>
            <w:shd w:val="clear" w:color="000000" w:fill="FFD966"/>
            <w:vAlign w:val="center"/>
          </w:tcPr>
          <w:p w14:paraId="1E0E3F7D"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79,1%</w:t>
            </w:r>
          </w:p>
        </w:tc>
      </w:tr>
    </w:tbl>
    <w:p w14:paraId="41E4BD81" w14:textId="77777777" w:rsidR="00A31D0D" w:rsidRPr="00F075F9" w:rsidRDefault="00A31D0D" w:rsidP="00A31D0D">
      <w:pPr>
        <w:jc w:val="both"/>
      </w:pPr>
      <w:r w:rsidRPr="00F075F9">
        <w:t>Source des données : Optima 2.40</w:t>
      </w:r>
    </w:p>
    <w:p w14:paraId="7F46CD49" w14:textId="77777777" w:rsidR="00A31D0D" w:rsidRPr="00F075F9" w:rsidRDefault="00A31D0D" w:rsidP="00A31D0D">
      <w:pPr>
        <w:jc w:val="both"/>
        <w:rPr>
          <w:b/>
          <w:bCs/>
        </w:rPr>
      </w:pPr>
      <w:r w:rsidRPr="00F075F9">
        <w:rPr>
          <w:b/>
          <w:bCs/>
        </w:rPr>
        <w:t>Commentaires du PR sur le KP-6c</w:t>
      </w:r>
    </w:p>
    <w:p w14:paraId="5A3E580A" w14:textId="77777777" w:rsidR="00A31D0D" w:rsidRPr="00F075F9" w:rsidRDefault="00A31D0D" w:rsidP="00A31D0D">
      <w:r w:rsidRPr="00F075F9">
        <w:t xml:space="preserve">Avec une complétude de 100% au cours de cette période sous rapportage, on note que 1 020 PS ont reçu la </w:t>
      </w:r>
      <w:proofErr w:type="spellStart"/>
      <w:r w:rsidRPr="00F075F9">
        <w:t>PrEP</w:t>
      </w:r>
      <w:proofErr w:type="spellEnd"/>
      <w:r w:rsidRPr="00F075F9">
        <w:t xml:space="preserve"> contre 1 290 attendus soit une performance de 79,1%.</w:t>
      </w:r>
    </w:p>
    <w:p w14:paraId="24C44E7A" w14:textId="77777777" w:rsidR="00A31D0D" w:rsidRPr="00F075F9" w:rsidRDefault="00A31D0D" w:rsidP="00A31D0D">
      <w:r w:rsidRPr="00F075F9">
        <w:t>Cette performance relativement faible, est vraisemblablement liée aux mêmes raisons que celles évoquées avec l’indicateur KP-6a.</w:t>
      </w:r>
    </w:p>
    <w:p w14:paraId="1A0365CE" w14:textId="77777777" w:rsidR="00A31D0D" w:rsidRPr="00F075F9" w:rsidRDefault="00A31D0D" w:rsidP="00A31D0D">
      <w:r w:rsidRPr="00F075F9">
        <w:t xml:space="preserve">Les mesures envisagées pour l’amélioration des performances et de la qualité des données sont également applicables pour les PS. </w:t>
      </w:r>
    </w:p>
    <w:p w14:paraId="0F654E41" w14:textId="77777777" w:rsidR="00A31D0D" w:rsidRDefault="00A31D0D" w:rsidP="00A31D0D"/>
    <w:p w14:paraId="0252A5E5" w14:textId="77777777" w:rsidR="00C86685" w:rsidRDefault="00C86685" w:rsidP="00A31D0D"/>
    <w:p w14:paraId="66651FDB" w14:textId="77777777" w:rsidR="00C86685" w:rsidRDefault="00C86685" w:rsidP="00A31D0D"/>
    <w:p w14:paraId="72E173C1" w14:textId="77777777" w:rsidR="00C86685" w:rsidRDefault="00C86685" w:rsidP="00A31D0D"/>
    <w:p w14:paraId="23D8C117" w14:textId="77777777" w:rsidR="00C86685" w:rsidRDefault="00C86685" w:rsidP="00A31D0D"/>
    <w:p w14:paraId="01A7865F" w14:textId="77777777" w:rsidR="00C86685" w:rsidRDefault="00C86685" w:rsidP="00A31D0D"/>
    <w:p w14:paraId="68AC5BEB" w14:textId="77777777" w:rsidR="00C86685" w:rsidRDefault="00C86685" w:rsidP="00A31D0D"/>
    <w:p w14:paraId="7219333C" w14:textId="77777777" w:rsidR="00C86685" w:rsidRDefault="00C86685" w:rsidP="00A31D0D"/>
    <w:p w14:paraId="729E6936" w14:textId="77777777" w:rsidR="00C86685" w:rsidRDefault="00C86685" w:rsidP="00A31D0D"/>
    <w:p w14:paraId="5981945A" w14:textId="77777777" w:rsidR="00C86685" w:rsidRDefault="00C86685" w:rsidP="00A31D0D"/>
    <w:p w14:paraId="3ACDDC0D" w14:textId="77777777" w:rsidR="00C86685" w:rsidRDefault="00C86685" w:rsidP="00A31D0D"/>
    <w:p w14:paraId="6E061067" w14:textId="77777777" w:rsidR="00C86685" w:rsidRDefault="00C86685" w:rsidP="00A31D0D"/>
    <w:p w14:paraId="77D93BDA" w14:textId="77777777" w:rsidR="00C86685" w:rsidRPr="00F075F9" w:rsidRDefault="00C86685" w:rsidP="00A31D0D"/>
    <w:p w14:paraId="3C77D2DA" w14:textId="77777777" w:rsidR="00A31D0D" w:rsidRPr="00F075F9" w:rsidRDefault="00A31D0D" w:rsidP="00A31D0D"/>
    <w:tbl>
      <w:tblPr>
        <w:tblStyle w:val="Grilledutableau"/>
        <w:tblW w:w="9271" w:type="dxa"/>
        <w:tblInd w:w="-289" w:type="dxa"/>
        <w:tblLook w:val="04A0" w:firstRow="1" w:lastRow="0" w:firstColumn="1" w:lastColumn="0" w:noHBand="0" w:noVBand="1"/>
      </w:tblPr>
      <w:tblGrid>
        <w:gridCol w:w="2119"/>
        <w:gridCol w:w="967"/>
        <w:gridCol w:w="683"/>
        <w:gridCol w:w="1030"/>
        <w:gridCol w:w="745"/>
        <w:gridCol w:w="716"/>
        <w:gridCol w:w="58"/>
        <w:gridCol w:w="884"/>
        <w:gridCol w:w="745"/>
        <w:gridCol w:w="1324"/>
      </w:tblGrid>
      <w:tr w:rsidR="00A31D0D" w:rsidRPr="00F075F9" w14:paraId="5DCD319B" w14:textId="77777777" w:rsidTr="002914FE">
        <w:trPr>
          <w:trHeight w:val="496"/>
        </w:trPr>
        <w:tc>
          <w:tcPr>
            <w:tcW w:w="2119" w:type="dxa"/>
            <w:vMerge w:val="restart"/>
          </w:tcPr>
          <w:p w14:paraId="5BE0DAB9"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lastRenderedPageBreak/>
              <w:t>Indicateur</w:t>
            </w:r>
          </w:p>
        </w:tc>
        <w:tc>
          <w:tcPr>
            <w:tcW w:w="967" w:type="dxa"/>
            <w:vMerge w:val="restart"/>
            <w:shd w:val="clear" w:color="auto" w:fill="BEBEBE"/>
          </w:tcPr>
          <w:p w14:paraId="5C33C9C4" w14:textId="77777777" w:rsidR="00A31D0D" w:rsidRPr="00F075F9" w:rsidRDefault="00A31D0D"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2458" w:type="dxa"/>
            <w:gridSpan w:val="3"/>
            <w:shd w:val="clear" w:color="auto" w:fill="BEBEBE"/>
            <w:vAlign w:val="center"/>
          </w:tcPr>
          <w:p w14:paraId="49D046E2"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727" w:type="dxa"/>
            <w:gridSpan w:val="5"/>
            <w:shd w:val="clear" w:color="auto" w:fill="83CAEB" w:themeFill="accent1" w:themeFillTint="66"/>
            <w:vAlign w:val="center"/>
          </w:tcPr>
          <w:p w14:paraId="563C2E68" w14:textId="77777777" w:rsidR="00A31D0D" w:rsidRPr="00F075F9" w:rsidRDefault="00A31D0D"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Résultats S1 2025</w:t>
            </w:r>
          </w:p>
        </w:tc>
      </w:tr>
      <w:tr w:rsidR="00A31D0D" w:rsidRPr="00F075F9" w14:paraId="586389F0" w14:textId="77777777" w:rsidTr="002914FE">
        <w:trPr>
          <w:trHeight w:val="146"/>
        </w:trPr>
        <w:tc>
          <w:tcPr>
            <w:tcW w:w="2119" w:type="dxa"/>
            <w:vMerge/>
          </w:tcPr>
          <w:p w14:paraId="23F501BE" w14:textId="77777777" w:rsidR="00A31D0D" w:rsidRPr="00F075F9" w:rsidRDefault="00A31D0D" w:rsidP="002914FE">
            <w:pPr>
              <w:pStyle w:val="Paragraphedeliste"/>
              <w:ind w:left="0"/>
              <w:jc w:val="both"/>
            </w:pPr>
          </w:p>
        </w:tc>
        <w:tc>
          <w:tcPr>
            <w:tcW w:w="967" w:type="dxa"/>
            <w:vMerge/>
          </w:tcPr>
          <w:p w14:paraId="0950A839" w14:textId="77777777" w:rsidR="00A31D0D" w:rsidRPr="00F075F9" w:rsidRDefault="00A31D0D" w:rsidP="002914FE">
            <w:pPr>
              <w:pStyle w:val="Paragraphedeliste"/>
              <w:ind w:left="0"/>
              <w:jc w:val="center"/>
            </w:pPr>
          </w:p>
        </w:tc>
        <w:tc>
          <w:tcPr>
            <w:tcW w:w="683" w:type="dxa"/>
            <w:shd w:val="clear" w:color="auto" w:fill="BEBEBE"/>
            <w:vAlign w:val="center"/>
          </w:tcPr>
          <w:p w14:paraId="76525025"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1030" w:type="dxa"/>
            <w:shd w:val="clear" w:color="auto" w:fill="BEBEBE"/>
            <w:vAlign w:val="center"/>
          </w:tcPr>
          <w:p w14:paraId="4ED9998C"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45" w:type="dxa"/>
            <w:shd w:val="clear" w:color="auto" w:fill="BEBEBE"/>
            <w:vAlign w:val="center"/>
          </w:tcPr>
          <w:p w14:paraId="0CE45E50"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716" w:type="dxa"/>
            <w:shd w:val="clear" w:color="auto" w:fill="83CAEB" w:themeFill="accent1" w:themeFillTint="66"/>
            <w:vAlign w:val="center"/>
          </w:tcPr>
          <w:p w14:paraId="3002DD5C"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42" w:type="dxa"/>
            <w:gridSpan w:val="2"/>
            <w:shd w:val="clear" w:color="auto" w:fill="83CAEB" w:themeFill="accent1" w:themeFillTint="66"/>
            <w:vAlign w:val="center"/>
          </w:tcPr>
          <w:p w14:paraId="78F2D208"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45" w:type="dxa"/>
            <w:shd w:val="clear" w:color="auto" w:fill="83CAEB" w:themeFill="accent1" w:themeFillTint="66"/>
            <w:vAlign w:val="center"/>
          </w:tcPr>
          <w:p w14:paraId="16708547"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1324" w:type="dxa"/>
            <w:shd w:val="clear" w:color="auto" w:fill="83CAEB" w:themeFill="accent1" w:themeFillTint="66"/>
            <w:vAlign w:val="center"/>
          </w:tcPr>
          <w:p w14:paraId="75B5BEBF"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A31D0D" w:rsidRPr="00F075F9" w14:paraId="4BC82179" w14:textId="77777777" w:rsidTr="002914FE">
        <w:trPr>
          <w:trHeight w:val="2287"/>
        </w:trPr>
        <w:tc>
          <w:tcPr>
            <w:tcW w:w="2119" w:type="dxa"/>
            <w:shd w:val="clear" w:color="auto" w:fill="E9E9E9"/>
            <w:vAlign w:val="center"/>
          </w:tcPr>
          <w:p w14:paraId="7DAFB365" w14:textId="77777777" w:rsidR="00A31D0D" w:rsidRPr="00F075F9" w:rsidRDefault="00A31D0D" w:rsidP="002914FE">
            <w:pPr>
              <w:pStyle w:val="Paragraphedeliste"/>
              <w:ind w:left="0"/>
              <w:rPr>
                <w:sz w:val="22"/>
                <w:szCs w:val="22"/>
              </w:rPr>
            </w:pPr>
            <w:r w:rsidRPr="00F075F9">
              <w:rPr>
                <w:rFonts w:cs="Calibri"/>
                <w:b/>
                <w:bCs/>
                <w:color w:val="000000"/>
                <w:sz w:val="22"/>
                <w:szCs w:val="22"/>
              </w:rPr>
              <w:t>KP-1d Pourcentage de personnes qui s'injectent des drogues ayant bénéficié de programmes préventifs de lutte contre le VIH (paquet de services définis)</w:t>
            </w:r>
          </w:p>
        </w:tc>
        <w:tc>
          <w:tcPr>
            <w:tcW w:w="967" w:type="dxa"/>
            <w:tcBorders>
              <w:top w:val="single" w:sz="4" w:space="0" w:color="auto"/>
              <w:left w:val="single" w:sz="4" w:space="0" w:color="auto"/>
              <w:bottom w:val="single" w:sz="4" w:space="0" w:color="auto"/>
              <w:right w:val="single" w:sz="4" w:space="0" w:color="auto"/>
            </w:tcBorders>
            <w:vAlign w:val="center"/>
          </w:tcPr>
          <w:p w14:paraId="58822985"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1500</w:t>
            </w:r>
          </w:p>
        </w:tc>
        <w:tc>
          <w:tcPr>
            <w:tcW w:w="683" w:type="dxa"/>
            <w:tcBorders>
              <w:top w:val="single" w:sz="4" w:space="0" w:color="auto"/>
              <w:left w:val="single" w:sz="4" w:space="0" w:color="auto"/>
              <w:bottom w:val="single" w:sz="4" w:space="0" w:color="auto"/>
              <w:right w:val="single" w:sz="4" w:space="0" w:color="auto"/>
            </w:tcBorders>
            <w:shd w:val="clear" w:color="000000" w:fill="E7E6E6"/>
            <w:vAlign w:val="center"/>
          </w:tcPr>
          <w:p w14:paraId="147FA8AA"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3 980</w:t>
            </w:r>
          </w:p>
        </w:tc>
        <w:tc>
          <w:tcPr>
            <w:tcW w:w="1030" w:type="dxa"/>
            <w:tcBorders>
              <w:top w:val="single" w:sz="4" w:space="0" w:color="auto"/>
              <w:left w:val="nil"/>
              <w:bottom w:val="single" w:sz="4" w:space="0" w:color="auto"/>
              <w:right w:val="single" w:sz="4" w:space="0" w:color="auto"/>
            </w:tcBorders>
            <w:shd w:val="clear" w:color="000000" w:fill="E7E6E6"/>
            <w:vAlign w:val="center"/>
          </w:tcPr>
          <w:p w14:paraId="007630F8"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114 002</w:t>
            </w:r>
          </w:p>
        </w:tc>
        <w:tc>
          <w:tcPr>
            <w:tcW w:w="745" w:type="dxa"/>
            <w:tcBorders>
              <w:top w:val="single" w:sz="4" w:space="0" w:color="auto"/>
              <w:left w:val="nil"/>
              <w:bottom w:val="single" w:sz="4" w:space="0" w:color="auto"/>
              <w:right w:val="single" w:sz="4" w:space="0" w:color="auto"/>
            </w:tcBorders>
            <w:shd w:val="clear" w:color="000000" w:fill="E7E6E6"/>
            <w:vAlign w:val="center"/>
          </w:tcPr>
          <w:p w14:paraId="514137D7"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3,49%</w:t>
            </w:r>
          </w:p>
        </w:tc>
        <w:tc>
          <w:tcPr>
            <w:tcW w:w="774" w:type="dxa"/>
            <w:gridSpan w:val="2"/>
            <w:tcBorders>
              <w:top w:val="single" w:sz="4" w:space="0" w:color="auto"/>
              <w:left w:val="nil"/>
              <w:bottom w:val="single" w:sz="4" w:space="0" w:color="auto"/>
              <w:right w:val="single" w:sz="4" w:space="0" w:color="auto"/>
            </w:tcBorders>
            <w:vAlign w:val="center"/>
          </w:tcPr>
          <w:p w14:paraId="4E081137"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5 406</w:t>
            </w:r>
          </w:p>
        </w:tc>
        <w:tc>
          <w:tcPr>
            <w:tcW w:w="884" w:type="dxa"/>
            <w:tcBorders>
              <w:top w:val="single" w:sz="4" w:space="0" w:color="auto"/>
              <w:left w:val="nil"/>
              <w:bottom w:val="single" w:sz="4" w:space="0" w:color="auto"/>
              <w:right w:val="single" w:sz="4" w:space="0" w:color="auto"/>
            </w:tcBorders>
            <w:vAlign w:val="center"/>
          </w:tcPr>
          <w:p w14:paraId="268955AE"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114 002</w:t>
            </w:r>
          </w:p>
        </w:tc>
        <w:tc>
          <w:tcPr>
            <w:tcW w:w="745" w:type="dxa"/>
            <w:tcBorders>
              <w:top w:val="single" w:sz="4" w:space="0" w:color="auto"/>
              <w:left w:val="nil"/>
              <w:bottom w:val="single" w:sz="4" w:space="0" w:color="auto"/>
              <w:right w:val="single" w:sz="4" w:space="0" w:color="auto"/>
            </w:tcBorders>
            <w:vAlign w:val="center"/>
          </w:tcPr>
          <w:p w14:paraId="7DA8C0DC"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4,74%</w:t>
            </w:r>
          </w:p>
        </w:tc>
        <w:tc>
          <w:tcPr>
            <w:tcW w:w="1324" w:type="dxa"/>
            <w:tcBorders>
              <w:top w:val="single" w:sz="4" w:space="0" w:color="auto"/>
              <w:left w:val="single" w:sz="4" w:space="0" w:color="auto"/>
              <w:bottom w:val="single" w:sz="4" w:space="0" w:color="auto"/>
              <w:right w:val="single" w:sz="4" w:space="0" w:color="auto"/>
            </w:tcBorders>
            <w:shd w:val="clear" w:color="000000" w:fill="548235"/>
            <w:vAlign w:val="center"/>
          </w:tcPr>
          <w:p w14:paraId="4DFBB128"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135,8%</w:t>
            </w:r>
          </w:p>
        </w:tc>
      </w:tr>
    </w:tbl>
    <w:p w14:paraId="57B905E8" w14:textId="77777777" w:rsidR="00A31D0D" w:rsidRPr="00F075F9" w:rsidRDefault="00A31D0D" w:rsidP="00A31D0D">
      <w:pPr>
        <w:jc w:val="both"/>
      </w:pPr>
      <w:r w:rsidRPr="00F075F9">
        <w:t>Source des données : Optima 2.40</w:t>
      </w:r>
    </w:p>
    <w:p w14:paraId="70248526" w14:textId="77777777" w:rsidR="00A31D0D" w:rsidRPr="00F075F9" w:rsidRDefault="00A31D0D" w:rsidP="00A31D0D">
      <w:pPr>
        <w:jc w:val="both"/>
        <w:rPr>
          <w:b/>
          <w:bCs/>
        </w:rPr>
      </w:pPr>
      <w:r w:rsidRPr="00F075F9">
        <w:rPr>
          <w:b/>
          <w:bCs/>
        </w:rPr>
        <w:t>Commentaires du PR sur le KP-1d</w:t>
      </w:r>
    </w:p>
    <w:p w14:paraId="4414E3E9" w14:textId="77777777" w:rsidR="00A31D0D" w:rsidRPr="00D76A4D" w:rsidRDefault="00A31D0D" w:rsidP="00A31D0D">
      <w:pPr>
        <w:jc w:val="both"/>
        <w:rPr>
          <w:sz w:val="22"/>
          <w:szCs w:val="22"/>
        </w:rPr>
      </w:pPr>
      <w:r w:rsidRPr="00D76A4D">
        <w:rPr>
          <w:sz w:val="22"/>
          <w:szCs w:val="22"/>
        </w:rPr>
        <w:t>En lien avec le mode de calcul pour cet indicateur, c’est comme mentionné ci-haut pour l’indicateur KP-1a.</w:t>
      </w:r>
    </w:p>
    <w:p w14:paraId="70784B11" w14:textId="77777777" w:rsidR="00A31D0D" w:rsidRPr="00D76A4D" w:rsidRDefault="00A31D0D" w:rsidP="00A31D0D">
      <w:pPr>
        <w:jc w:val="both"/>
        <w:rPr>
          <w:sz w:val="22"/>
          <w:szCs w:val="22"/>
        </w:rPr>
      </w:pPr>
      <w:r w:rsidRPr="00D76A4D">
        <w:rPr>
          <w:sz w:val="22"/>
          <w:szCs w:val="22"/>
        </w:rPr>
        <w:t xml:space="preserve">Avec une complétude de rapport à 100% selon OPTIMA, un total de 5406 personnes qui s'injectent des drogues ont été touchées par les activités de sensibilisation sur le VIH au cours de la période de rapportage (S1 2025), sur 3 980 attendus, soit une performance de 136%. </w:t>
      </w:r>
    </w:p>
    <w:p w14:paraId="51E4BAD1" w14:textId="4AF39CF1" w:rsidR="00A31D0D" w:rsidRPr="00D76A4D" w:rsidRDefault="00A31D0D" w:rsidP="00A31D0D">
      <w:pPr>
        <w:jc w:val="both"/>
        <w:rPr>
          <w:sz w:val="22"/>
          <w:szCs w:val="22"/>
        </w:rPr>
      </w:pPr>
      <w:r w:rsidRPr="00D76A4D">
        <w:rPr>
          <w:sz w:val="22"/>
          <w:szCs w:val="22"/>
        </w:rPr>
        <w:t>Le paquet de prévention du VIH pour les UDI est composé essentiellement, outre les activités de communication, des seringues à espace mort réduit et des aiguilles. Faute d’un stock suffisant en ces intrants et des outils capables de collecter l’information quant à leur distribution par client, le mode de calcul de cet indicateur est le même que pour le KP-1a et KP-1c. Au regard du niveau de stock des seringues actuel dans le pays et de la dissémination des nouveaux outils du PNLS sus évoquée, le calcul de cet indicateur prendra en compte ces éléments dans le prochain PUDR.</w:t>
      </w:r>
    </w:p>
    <w:p w14:paraId="4EDFD6A4" w14:textId="77777777" w:rsidR="00A31D0D" w:rsidRPr="00D76A4D" w:rsidRDefault="00A31D0D" w:rsidP="00A31D0D">
      <w:pPr>
        <w:jc w:val="both"/>
        <w:rPr>
          <w:sz w:val="22"/>
          <w:szCs w:val="22"/>
        </w:rPr>
      </w:pPr>
      <w:r w:rsidRPr="00D76A4D">
        <w:rPr>
          <w:sz w:val="22"/>
          <w:szCs w:val="22"/>
        </w:rPr>
        <w:t>Ce nombre de 5 046 UDI touchés par les services de prévention est largement supérieur à ceux de deux années antérieures pour la même période, 1249 en 2023 et 1500 en 2024. La reprise des activités dans les différents centres conviviaux et intégrés avec eux la dynamisation des organisations à assise communautaire s’occupant notamment des UDI, a largement contribué à cette performance. Toutefois, les échanges avec les acteurs de terrain lors des prochaines supervisions permettront d’en savoir davantage.</w:t>
      </w:r>
    </w:p>
    <w:p w14:paraId="7C3A2EEF" w14:textId="77777777" w:rsidR="00A31D0D" w:rsidRPr="00D76A4D" w:rsidRDefault="00A31D0D" w:rsidP="00A31D0D">
      <w:pPr>
        <w:jc w:val="both"/>
        <w:rPr>
          <w:sz w:val="22"/>
          <w:szCs w:val="22"/>
        </w:rPr>
      </w:pPr>
      <w:r w:rsidRPr="00D76A4D">
        <w:rPr>
          <w:sz w:val="22"/>
          <w:szCs w:val="22"/>
        </w:rPr>
        <w:t>La province de Kinshasa contribue avec 30% de cas touchés, suivies du Kasaï Oriental avec 16%, Maniema 15%, alors que les 39 % restants sont répartis sur les 12 autres provinces couvertes par les activités des populations clés.</w:t>
      </w:r>
    </w:p>
    <w:p w14:paraId="5F279377" w14:textId="77777777" w:rsidR="00A31D0D" w:rsidRPr="00F075F9" w:rsidRDefault="00A31D0D" w:rsidP="00A31D0D">
      <w:pPr>
        <w:jc w:val="both"/>
      </w:pPr>
      <w:r w:rsidRPr="00D76A4D">
        <w:rPr>
          <w:sz w:val="22"/>
          <w:szCs w:val="22"/>
        </w:rPr>
        <w:t>En plus des mesures envisagées pour améliorer la qualité des services et des données générées relatives aux indicateurs KP-1a et KP-1c, le maintien des activités des maraudes</w:t>
      </w:r>
      <w:r w:rsidRPr="00F075F9">
        <w:t xml:space="preserve"> sur les sites UD/UDI autour des CC/CI trimestriellement seront intensifiées trimestriellement.</w:t>
      </w:r>
    </w:p>
    <w:p w14:paraId="0C5113D3" w14:textId="77777777" w:rsidR="00A31D0D" w:rsidRPr="00F075F9" w:rsidRDefault="00A31D0D" w:rsidP="00A31D0D">
      <w:pPr>
        <w:jc w:val="both"/>
      </w:pPr>
    </w:p>
    <w:p w14:paraId="1D724618" w14:textId="77777777" w:rsidR="00A31D0D" w:rsidRPr="00F075F9" w:rsidRDefault="00A31D0D" w:rsidP="00A31D0D">
      <w:pPr>
        <w:jc w:val="both"/>
      </w:pPr>
    </w:p>
    <w:tbl>
      <w:tblPr>
        <w:tblStyle w:val="Grilledutableau"/>
        <w:tblW w:w="10357" w:type="dxa"/>
        <w:tblInd w:w="-5" w:type="dxa"/>
        <w:tblLayout w:type="fixed"/>
        <w:tblLook w:val="04A0" w:firstRow="1" w:lastRow="0" w:firstColumn="1" w:lastColumn="0" w:noHBand="0" w:noVBand="1"/>
      </w:tblPr>
      <w:tblGrid>
        <w:gridCol w:w="1843"/>
        <w:gridCol w:w="992"/>
        <w:gridCol w:w="835"/>
        <w:gridCol w:w="786"/>
        <w:gridCol w:w="787"/>
        <w:gridCol w:w="1048"/>
        <w:gridCol w:w="787"/>
        <w:gridCol w:w="655"/>
        <w:gridCol w:w="917"/>
        <w:gridCol w:w="763"/>
        <w:gridCol w:w="944"/>
      </w:tblGrid>
      <w:tr w:rsidR="00A31D0D" w:rsidRPr="00F075F9" w14:paraId="6D22A3C0" w14:textId="77777777" w:rsidTr="002914FE">
        <w:trPr>
          <w:trHeight w:val="1040"/>
        </w:trPr>
        <w:tc>
          <w:tcPr>
            <w:tcW w:w="1843" w:type="dxa"/>
            <w:vMerge w:val="restart"/>
          </w:tcPr>
          <w:p w14:paraId="1A7A601C"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lastRenderedPageBreak/>
              <w:t>Indicateur</w:t>
            </w:r>
          </w:p>
        </w:tc>
        <w:tc>
          <w:tcPr>
            <w:tcW w:w="992" w:type="dxa"/>
            <w:vMerge w:val="restart"/>
            <w:shd w:val="clear" w:color="auto" w:fill="BEBEBE"/>
          </w:tcPr>
          <w:p w14:paraId="63C5D1A3" w14:textId="77777777" w:rsidR="00A31D0D" w:rsidRPr="00F075F9" w:rsidRDefault="00A31D0D"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835" w:type="dxa"/>
            <w:vMerge w:val="restart"/>
            <w:shd w:val="clear" w:color="auto" w:fill="BEBEBE"/>
          </w:tcPr>
          <w:p w14:paraId="370839C9"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T1 2025</w:t>
            </w:r>
          </w:p>
        </w:tc>
        <w:tc>
          <w:tcPr>
            <w:tcW w:w="786" w:type="dxa"/>
            <w:vMerge w:val="restart"/>
            <w:shd w:val="clear" w:color="auto" w:fill="BEBEBE"/>
          </w:tcPr>
          <w:p w14:paraId="519DB4D3"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T2 2025</w:t>
            </w:r>
          </w:p>
        </w:tc>
        <w:tc>
          <w:tcPr>
            <w:tcW w:w="2622" w:type="dxa"/>
            <w:gridSpan w:val="3"/>
            <w:shd w:val="clear" w:color="auto" w:fill="BEBEBE"/>
            <w:vAlign w:val="center"/>
          </w:tcPr>
          <w:p w14:paraId="2A2EF691"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279" w:type="dxa"/>
            <w:gridSpan w:val="4"/>
            <w:shd w:val="clear" w:color="auto" w:fill="83CAEB" w:themeFill="accent1" w:themeFillTint="66"/>
            <w:vAlign w:val="center"/>
          </w:tcPr>
          <w:p w14:paraId="66B5F270"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Résultats S1 2025</w:t>
            </w:r>
          </w:p>
        </w:tc>
      </w:tr>
      <w:tr w:rsidR="00A31D0D" w:rsidRPr="00F075F9" w14:paraId="49570F2A" w14:textId="77777777" w:rsidTr="002914FE">
        <w:trPr>
          <w:trHeight w:val="306"/>
        </w:trPr>
        <w:tc>
          <w:tcPr>
            <w:tcW w:w="1843" w:type="dxa"/>
            <w:vMerge/>
          </w:tcPr>
          <w:p w14:paraId="64F1009F" w14:textId="77777777" w:rsidR="00A31D0D" w:rsidRPr="00F075F9" w:rsidRDefault="00A31D0D" w:rsidP="002914FE">
            <w:pPr>
              <w:pStyle w:val="Paragraphedeliste"/>
              <w:ind w:left="0"/>
              <w:jc w:val="both"/>
            </w:pPr>
          </w:p>
        </w:tc>
        <w:tc>
          <w:tcPr>
            <w:tcW w:w="992" w:type="dxa"/>
            <w:vMerge/>
          </w:tcPr>
          <w:p w14:paraId="0CB1C7FB" w14:textId="77777777" w:rsidR="00A31D0D" w:rsidRPr="00F075F9" w:rsidRDefault="00A31D0D" w:rsidP="002914FE">
            <w:pPr>
              <w:pStyle w:val="Paragraphedeliste"/>
              <w:ind w:left="0"/>
              <w:jc w:val="center"/>
            </w:pPr>
          </w:p>
        </w:tc>
        <w:tc>
          <w:tcPr>
            <w:tcW w:w="835" w:type="dxa"/>
            <w:vMerge/>
          </w:tcPr>
          <w:p w14:paraId="1B519119"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786" w:type="dxa"/>
            <w:vMerge/>
          </w:tcPr>
          <w:p w14:paraId="2338264E"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787" w:type="dxa"/>
            <w:shd w:val="clear" w:color="auto" w:fill="BEBEBE"/>
            <w:vAlign w:val="center"/>
          </w:tcPr>
          <w:p w14:paraId="3C2236FB"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1048" w:type="dxa"/>
            <w:shd w:val="clear" w:color="auto" w:fill="BEBEBE"/>
            <w:vAlign w:val="center"/>
          </w:tcPr>
          <w:p w14:paraId="07A42151"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87" w:type="dxa"/>
            <w:shd w:val="clear" w:color="auto" w:fill="BEBEBE"/>
            <w:vAlign w:val="center"/>
          </w:tcPr>
          <w:p w14:paraId="3E9EC3A4"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Cible (%)</w:t>
            </w:r>
          </w:p>
        </w:tc>
        <w:tc>
          <w:tcPr>
            <w:tcW w:w="655" w:type="dxa"/>
            <w:shd w:val="clear" w:color="auto" w:fill="83CAEB" w:themeFill="accent1" w:themeFillTint="66"/>
            <w:vAlign w:val="center"/>
          </w:tcPr>
          <w:p w14:paraId="6BC452A7"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17" w:type="dxa"/>
            <w:shd w:val="clear" w:color="auto" w:fill="83CAEB" w:themeFill="accent1" w:themeFillTint="66"/>
            <w:vAlign w:val="center"/>
          </w:tcPr>
          <w:p w14:paraId="65A3B5F8"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63" w:type="dxa"/>
            <w:shd w:val="clear" w:color="auto" w:fill="83CAEB" w:themeFill="accent1" w:themeFillTint="66"/>
            <w:vAlign w:val="center"/>
          </w:tcPr>
          <w:p w14:paraId="5488DB1C"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w:t>
            </w:r>
          </w:p>
        </w:tc>
        <w:tc>
          <w:tcPr>
            <w:tcW w:w="944" w:type="dxa"/>
            <w:shd w:val="clear" w:color="auto" w:fill="83CAEB" w:themeFill="accent1" w:themeFillTint="66"/>
            <w:vAlign w:val="center"/>
          </w:tcPr>
          <w:p w14:paraId="214AB038"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A31D0D" w:rsidRPr="00F075F9" w14:paraId="24B9072F" w14:textId="77777777" w:rsidTr="002914FE">
        <w:trPr>
          <w:trHeight w:val="2976"/>
        </w:trPr>
        <w:tc>
          <w:tcPr>
            <w:tcW w:w="1843" w:type="dxa"/>
            <w:shd w:val="clear" w:color="auto" w:fill="E9E9E9"/>
            <w:vAlign w:val="center"/>
          </w:tcPr>
          <w:p w14:paraId="2BED884A" w14:textId="77777777" w:rsidR="00A31D0D" w:rsidRPr="00F075F9" w:rsidRDefault="00A31D0D" w:rsidP="002914FE">
            <w:pPr>
              <w:pStyle w:val="Paragraphedeliste"/>
              <w:ind w:left="0"/>
              <w:rPr>
                <w:sz w:val="22"/>
                <w:szCs w:val="22"/>
              </w:rPr>
            </w:pPr>
            <w:r w:rsidRPr="00F075F9">
              <w:rPr>
                <w:rFonts w:cs="Calibri"/>
                <w:b/>
                <w:bCs/>
                <w:color w:val="000000"/>
                <w:sz w:val="22"/>
                <w:szCs w:val="22"/>
              </w:rPr>
              <w:t>HTS-3a Pourcentage de HSH chez lesquels un dépistage du VIH a été réalisé durant la période de rapportage et qui connaissent leur résultat</w:t>
            </w:r>
          </w:p>
        </w:tc>
        <w:tc>
          <w:tcPr>
            <w:tcW w:w="992" w:type="dxa"/>
            <w:vAlign w:val="center"/>
          </w:tcPr>
          <w:p w14:paraId="5292440A"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2881</w:t>
            </w:r>
          </w:p>
        </w:tc>
        <w:tc>
          <w:tcPr>
            <w:tcW w:w="835" w:type="dxa"/>
            <w:vAlign w:val="center"/>
          </w:tcPr>
          <w:p w14:paraId="50492692" w14:textId="77777777" w:rsidR="00A31D0D" w:rsidRPr="00F075F9" w:rsidRDefault="00A31D0D"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2287</w:t>
            </w:r>
          </w:p>
        </w:tc>
        <w:tc>
          <w:tcPr>
            <w:tcW w:w="786" w:type="dxa"/>
            <w:vAlign w:val="center"/>
          </w:tcPr>
          <w:p w14:paraId="2159A14F" w14:textId="77777777" w:rsidR="00A31D0D" w:rsidRPr="00F075F9" w:rsidRDefault="00A31D0D"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4618</w:t>
            </w:r>
          </w:p>
        </w:tc>
        <w:tc>
          <w:tcPr>
            <w:tcW w:w="787" w:type="dxa"/>
            <w:shd w:val="clear" w:color="000000" w:fill="E7E6E6"/>
            <w:vAlign w:val="center"/>
          </w:tcPr>
          <w:p w14:paraId="068E0741"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9 591</w:t>
            </w:r>
          </w:p>
        </w:tc>
        <w:tc>
          <w:tcPr>
            <w:tcW w:w="1048" w:type="dxa"/>
            <w:shd w:val="clear" w:color="000000" w:fill="E7E6E6"/>
            <w:vAlign w:val="center"/>
          </w:tcPr>
          <w:p w14:paraId="11B8FAE5"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128 404</w:t>
            </w:r>
          </w:p>
        </w:tc>
        <w:tc>
          <w:tcPr>
            <w:tcW w:w="787" w:type="dxa"/>
            <w:shd w:val="clear" w:color="000000" w:fill="E7E6E6"/>
            <w:vAlign w:val="center"/>
          </w:tcPr>
          <w:p w14:paraId="007DD21A"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7,47%</w:t>
            </w:r>
          </w:p>
        </w:tc>
        <w:tc>
          <w:tcPr>
            <w:tcW w:w="655" w:type="dxa"/>
            <w:vAlign w:val="center"/>
          </w:tcPr>
          <w:p w14:paraId="75F1D7AE"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6905</w:t>
            </w:r>
          </w:p>
        </w:tc>
        <w:tc>
          <w:tcPr>
            <w:tcW w:w="917" w:type="dxa"/>
            <w:vAlign w:val="center"/>
          </w:tcPr>
          <w:p w14:paraId="59EC1CCE"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128 404</w:t>
            </w:r>
          </w:p>
        </w:tc>
        <w:tc>
          <w:tcPr>
            <w:tcW w:w="763" w:type="dxa"/>
            <w:vAlign w:val="center"/>
          </w:tcPr>
          <w:p w14:paraId="5219F41C"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5,38%</w:t>
            </w:r>
          </w:p>
        </w:tc>
        <w:tc>
          <w:tcPr>
            <w:tcW w:w="944" w:type="dxa"/>
            <w:shd w:val="clear" w:color="000000" w:fill="FFD966"/>
            <w:vAlign w:val="center"/>
          </w:tcPr>
          <w:p w14:paraId="48B6B7E1"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72,0%</w:t>
            </w:r>
          </w:p>
        </w:tc>
      </w:tr>
    </w:tbl>
    <w:p w14:paraId="695564BF" w14:textId="77777777" w:rsidR="00A31D0D" w:rsidRPr="00F075F9" w:rsidRDefault="00A31D0D" w:rsidP="00A31D0D">
      <w:pPr>
        <w:jc w:val="both"/>
      </w:pPr>
      <w:r w:rsidRPr="00F075F9">
        <w:t>Source des données : Optima 2.40</w:t>
      </w:r>
    </w:p>
    <w:p w14:paraId="0C06E8F4" w14:textId="77777777" w:rsidR="00A31D0D" w:rsidRPr="00F075F9" w:rsidRDefault="00A31D0D" w:rsidP="00A31D0D">
      <w:pPr>
        <w:jc w:val="both"/>
      </w:pPr>
      <w:r w:rsidRPr="00F075F9">
        <w:rPr>
          <w:b/>
          <w:bCs/>
        </w:rPr>
        <w:t>Commentaires du PR sur le HTS-3a</w:t>
      </w:r>
      <w:r w:rsidRPr="00F075F9">
        <w:t xml:space="preserve"> </w:t>
      </w:r>
    </w:p>
    <w:p w14:paraId="00238BE5" w14:textId="77777777" w:rsidR="00A31D0D" w:rsidRPr="00F075F9" w:rsidRDefault="00A31D0D" w:rsidP="00A31D0D">
      <w:pPr>
        <w:jc w:val="both"/>
      </w:pPr>
      <w:r w:rsidRPr="00F075F9">
        <w:t xml:space="preserve">La complétude des données sur optima est de 100% comme pour les précédents indicateurs. Au premier semestre 2025, le pourcentage de HSH dépistés pour le VIH et connaissant leurs résultats est de 5,38%, soit 6 905 HSH dépistés sur un total de 9 591 attendus. Ce qui représente une performance de 72,00%. </w:t>
      </w:r>
    </w:p>
    <w:p w14:paraId="6EBA8CF5" w14:textId="77777777" w:rsidR="00A31D0D" w:rsidRPr="00F075F9" w:rsidRDefault="00A31D0D" w:rsidP="00A31D0D">
      <w:pPr>
        <w:jc w:val="both"/>
      </w:pPr>
      <w:r w:rsidRPr="00F075F9">
        <w:t xml:space="preserve">On note une notable évolution de la tendance de cet indicateur du T4 2024 (2 881 HSH dépistés) au T2 2025 (4 618) en dépit d’une légère flexion au T2 (2 287). Ceci reste en adéquation avec la disponibilité des tests de dépistage dans les centres CC/CI, le gros des approvisionnements ayant été réalisés au cours des mois de mai et juin derniers. Aussi, les plans de rattrapage mis en place avec chacun des </w:t>
      </w:r>
      <w:proofErr w:type="spellStart"/>
      <w:r w:rsidRPr="00F075F9">
        <w:t>SRs</w:t>
      </w:r>
      <w:proofErr w:type="spellEnd"/>
      <w:r w:rsidRPr="00F075F9">
        <w:t xml:space="preserve"> à la signature des contrats (Mai 2025) ont permis d’accélérer les activités dans les centres conviviaux et dans la communauté. C’est le cas des sorties trimestrielles en stratégie mobile pour le dépistage des groupes les plus cachées des populations clés.</w:t>
      </w:r>
    </w:p>
    <w:p w14:paraId="05BE78C3" w14:textId="77777777" w:rsidR="00A31D0D" w:rsidRPr="00F075F9" w:rsidRDefault="00A31D0D" w:rsidP="00A31D0D">
      <w:pPr>
        <w:jc w:val="both"/>
      </w:pPr>
      <w:r w:rsidRPr="00F075F9">
        <w:t>A noter également que parmi les HSH sensibilisés, au moins 71% (6 905/9676) ont été testés ; et parmi les testés, 98% ont retiré et un taux de 2% de séropositivité a été noté.  Et 100% des dépistés positifs ont été référés au traitement.</w:t>
      </w:r>
    </w:p>
    <w:p w14:paraId="772B85F6" w14:textId="77777777" w:rsidR="00A31D0D" w:rsidRPr="00F075F9" w:rsidRDefault="00A31D0D" w:rsidP="00A31D0D">
      <w:pPr>
        <w:jc w:val="both"/>
      </w:pPr>
      <w:r w:rsidRPr="00F075F9">
        <w:t xml:space="preserve">Au nombre des facteurs ayant contribué aux bonnes performances des CC/CI sus évoquées, on peut noter :  </w:t>
      </w:r>
    </w:p>
    <w:p w14:paraId="5BBF2640" w14:textId="77777777" w:rsidR="00A31D0D" w:rsidRPr="00F075F9" w:rsidRDefault="00A31D0D" w:rsidP="00A31D0D">
      <w:pPr>
        <w:pStyle w:val="Paragraphedeliste"/>
        <w:numPr>
          <w:ilvl w:val="0"/>
          <w:numId w:val="23"/>
        </w:numPr>
        <w:jc w:val="both"/>
      </w:pPr>
      <w:r w:rsidRPr="00F075F9">
        <w:t xml:space="preserve">Le suivi rapproché des CC/CI par le PR au cours des mois d’avril et juin 2025 lors des missions de </w:t>
      </w:r>
      <w:proofErr w:type="spellStart"/>
      <w:r w:rsidRPr="00F075F9">
        <w:t>boostage</w:t>
      </w:r>
      <w:proofErr w:type="spellEnd"/>
      <w:r w:rsidRPr="00F075F9">
        <w:t xml:space="preserve"> des activités tout en renforçant les compétences des prestataires sur la stratégie de dépistage et l’utilisation des outils de collecte ;</w:t>
      </w:r>
    </w:p>
    <w:p w14:paraId="4F2B5711" w14:textId="77777777" w:rsidR="00A31D0D" w:rsidRPr="00F075F9" w:rsidRDefault="00A31D0D" w:rsidP="00A31D0D">
      <w:pPr>
        <w:pStyle w:val="Paragraphedeliste"/>
        <w:numPr>
          <w:ilvl w:val="0"/>
          <w:numId w:val="23"/>
        </w:numPr>
        <w:jc w:val="both"/>
      </w:pPr>
      <w:r w:rsidRPr="00F075F9">
        <w:t>L’accompagnement des sous-récipiendaires par le PR dans l’élaboration et la mise en œuvre des plans de rattrapage après signature des contrats ;</w:t>
      </w:r>
    </w:p>
    <w:p w14:paraId="4CB7FDA5" w14:textId="77777777" w:rsidR="00A31D0D" w:rsidRPr="00F075F9" w:rsidRDefault="00A31D0D" w:rsidP="00A31D0D">
      <w:pPr>
        <w:pStyle w:val="Paragraphedeliste"/>
        <w:numPr>
          <w:ilvl w:val="0"/>
          <w:numId w:val="23"/>
        </w:numPr>
        <w:jc w:val="both"/>
      </w:pPr>
      <w:r w:rsidRPr="00F075F9">
        <w:lastRenderedPageBreak/>
        <w:t>L’organisation des activités des sorties trimestrielles en stratégie mobile pour le dépistage des populations clés dans neuf provinces prioritaires ;</w:t>
      </w:r>
    </w:p>
    <w:p w14:paraId="498A6DF2" w14:textId="77777777" w:rsidR="00A31D0D" w:rsidRPr="00F075F9" w:rsidRDefault="00A31D0D" w:rsidP="00A31D0D">
      <w:pPr>
        <w:pStyle w:val="Paragraphedeliste"/>
        <w:numPr>
          <w:ilvl w:val="0"/>
          <w:numId w:val="23"/>
        </w:numPr>
        <w:jc w:val="both"/>
      </w:pPr>
      <w:r w:rsidRPr="00F075F9">
        <w:t>La formation de 451 pairs éducateurs (105 HSH, 207PS, 56 TG et 83 UDI) pour assurer les activités communautaires ;</w:t>
      </w:r>
    </w:p>
    <w:p w14:paraId="5EA8AFEF" w14:textId="77777777" w:rsidR="00A31D0D" w:rsidRPr="00F075F9" w:rsidRDefault="00A31D0D" w:rsidP="00A31D0D">
      <w:pPr>
        <w:pStyle w:val="Paragraphedeliste"/>
        <w:numPr>
          <w:ilvl w:val="0"/>
          <w:numId w:val="23"/>
        </w:numPr>
        <w:jc w:val="both"/>
      </w:pPr>
      <w:r w:rsidRPr="00F075F9">
        <w:t>La réalisation de sensibilisation en routine des populations clés dans les points chauds par les pairs éducateurs et les OAC mises en place ;</w:t>
      </w:r>
    </w:p>
    <w:p w14:paraId="0872478F" w14:textId="77777777" w:rsidR="00A31D0D" w:rsidRPr="00F075F9" w:rsidRDefault="00A31D0D" w:rsidP="00A31D0D">
      <w:pPr>
        <w:pStyle w:val="Paragraphedeliste"/>
        <w:numPr>
          <w:ilvl w:val="0"/>
          <w:numId w:val="23"/>
        </w:numPr>
        <w:jc w:val="both"/>
      </w:pPr>
      <w:r w:rsidRPr="00F075F9">
        <w:t>Le suivi régulier de la disponibilité des tests et autres intrants ainsi que des approvisionnements de soudure assurés par le PR et certains SR.</w:t>
      </w:r>
    </w:p>
    <w:p w14:paraId="232FE35C" w14:textId="77777777" w:rsidR="00A31D0D" w:rsidRPr="00F075F9" w:rsidRDefault="00A31D0D" w:rsidP="00A31D0D">
      <w:pPr>
        <w:jc w:val="both"/>
      </w:pPr>
      <w:r w:rsidRPr="00F075F9">
        <w:t xml:space="preserve">Cependant, des défis persistent. L'insécurité dans le Nord-Kivu a entravé l'accès aux services et l'approvisionnement en tests. </w:t>
      </w:r>
    </w:p>
    <w:p w14:paraId="7F3212EA" w14:textId="77777777" w:rsidR="00A31D0D" w:rsidRPr="00F075F9" w:rsidRDefault="00A31D0D" w:rsidP="00A31D0D">
      <w:pPr>
        <w:jc w:val="both"/>
      </w:pPr>
      <w:r w:rsidRPr="00F075F9">
        <w:t>Pour améliorer davantage ces performances, plusieurs actions sont envisagées :</w:t>
      </w:r>
    </w:p>
    <w:p w14:paraId="3F0C9AB0" w14:textId="77777777" w:rsidR="00A31D0D" w:rsidRPr="00F075F9" w:rsidRDefault="00A31D0D" w:rsidP="00A31D0D">
      <w:pPr>
        <w:pStyle w:val="Paragraphedeliste"/>
        <w:numPr>
          <w:ilvl w:val="0"/>
          <w:numId w:val="24"/>
        </w:numPr>
        <w:jc w:val="both"/>
      </w:pPr>
      <w:r w:rsidRPr="00F075F9">
        <w:t>Évaluation des performances des pairs éducateurs et mise en place d’un micro-plan trimestriel pour le T3 et pour chaque Pair Educateur ;</w:t>
      </w:r>
    </w:p>
    <w:p w14:paraId="61971931" w14:textId="77777777" w:rsidR="00A31D0D" w:rsidRPr="00F075F9" w:rsidRDefault="00A31D0D" w:rsidP="00A31D0D">
      <w:pPr>
        <w:pStyle w:val="Paragraphedeliste"/>
        <w:numPr>
          <w:ilvl w:val="0"/>
          <w:numId w:val="24"/>
        </w:numPr>
        <w:jc w:val="both"/>
      </w:pPr>
      <w:r w:rsidRPr="00F075F9">
        <w:t xml:space="preserve">Des briefings des prestataires et pairs éducateurs sur l’utilisation des outils communautaires individualisés pour améliorer la couverture de </w:t>
      </w:r>
      <w:proofErr w:type="gramStart"/>
      <w:r w:rsidRPr="00F075F9">
        <w:t>services;</w:t>
      </w:r>
      <w:proofErr w:type="gramEnd"/>
    </w:p>
    <w:p w14:paraId="7CAE6309" w14:textId="77777777" w:rsidR="00A31D0D" w:rsidRPr="00F075F9" w:rsidRDefault="00A31D0D" w:rsidP="00A31D0D">
      <w:pPr>
        <w:pStyle w:val="Paragraphedeliste"/>
        <w:numPr>
          <w:ilvl w:val="0"/>
          <w:numId w:val="24"/>
        </w:numPr>
        <w:jc w:val="both"/>
      </w:pPr>
      <w:r w:rsidRPr="00F075F9">
        <w:t>Discussion avec le PNLS pour élaborer une stratégie de dépistage communautaire qui permettra aux pairs éducateurs de réaliser le test de dépistage dans la communauté ;</w:t>
      </w:r>
    </w:p>
    <w:p w14:paraId="491A423C" w14:textId="77777777" w:rsidR="00A31D0D" w:rsidRPr="00F075F9" w:rsidRDefault="00A31D0D" w:rsidP="00A31D0D">
      <w:pPr>
        <w:pStyle w:val="Paragraphedeliste"/>
        <w:numPr>
          <w:ilvl w:val="0"/>
          <w:numId w:val="24"/>
        </w:numPr>
        <w:jc w:val="both"/>
      </w:pPr>
      <w:r w:rsidRPr="00F075F9">
        <w:t>Visites de suivi et évaluation des sous-récipiendaires et des centres conviviaux/intégrés pour assurer la qualité et le suivi des activités ;</w:t>
      </w:r>
    </w:p>
    <w:p w14:paraId="0F6BDC47" w14:textId="77777777" w:rsidR="00A31D0D" w:rsidRPr="00F075F9" w:rsidRDefault="00A31D0D" w:rsidP="00A31D0D">
      <w:pPr>
        <w:pStyle w:val="Paragraphedeliste"/>
        <w:numPr>
          <w:ilvl w:val="0"/>
          <w:numId w:val="24"/>
        </w:numPr>
        <w:jc w:val="both"/>
      </w:pPr>
      <w:r w:rsidRPr="00F075F9">
        <w:t>Distributions mensuelles des tests de dépistage dans les CC/CI.</w:t>
      </w:r>
    </w:p>
    <w:p w14:paraId="37EE5986" w14:textId="77777777" w:rsidR="00A31D0D" w:rsidRPr="00F075F9" w:rsidRDefault="00A31D0D" w:rsidP="00A31D0D">
      <w:pPr>
        <w:pStyle w:val="Paragraphedeliste"/>
        <w:numPr>
          <w:ilvl w:val="0"/>
          <w:numId w:val="24"/>
        </w:numPr>
        <w:jc w:val="both"/>
      </w:pPr>
      <w:r w:rsidRPr="00F075F9">
        <w:t>Organisation de sorties mobiles dans plusieurs provinces prioritaires au T3 pour booster le dépistage.</w:t>
      </w:r>
    </w:p>
    <w:p w14:paraId="4DED3954" w14:textId="77777777" w:rsidR="00A31D0D" w:rsidRPr="00F075F9" w:rsidRDefault="00A31D0D" w:rsidP="00A31D0D">
      <w:pPr>
        <w:jc w:val="both"/>
      </w:pPr>
    </w:p>
    <w:p w14:paraId="20BD2894" w14:textId="77777777" w:rsidR="00A31D0D" w:rsidRPr="00F075F9" w:rsidRDefault="00A31D0D" w:rsidP="00A31D0D">
      <w:pPr>
        <w:jc w:val="both"/>
      </w:pPr>
    </w:p>
    <w:p w14:paraId="13CA802C" w14:textId="77777777" w:rsidR="00A31D0D" w:rsidRPr="00F075F9" w:rsidRDefault="00A31D0D" w:rsidP="00A31D0D">
      <w:pPr>
        <w:jc w:val="both"/>
      </w:pPr>
    </w:p>
    <w:p w14:paraId="5AA3D99F" w14:textId="77777777" w:rsidR="00A31D0D" w:rsidRPr="00F075F9" w:rsidRDefault="00A31D0D" w:rsidP="00A31D0D">
      <w:pPr>
        <w:jc w:val="both"/>
      </w:pPr>
    </w:p>
    <w:p w14:paraId="5AE08718" w14:textId="77777777" w:rsidR="00A31D0D" w:rsidRPr="00F075F9" w:rsidRDefault="00A31D0D" w:rsidP="00A31D0D">
      <w:pPr>
        <w:jc w:val="both"/>
      </w:pPr>
    </w:p>
    <w:p w14:paraId="72AB97DB" w14:textId="77777777" w:rsidR="00A31D0D" w:rsidRPr="00F075F9" w:rsidRDefault="00A31D0D" w:rsidP="00A31D0D">
      <w:pPr>
        <w:jc w:val="both"/>
      </w:pPr>
    </w:p>
    <w:p w14:paraId="3BED9B3A" w14:textId="77777777" w:rsidR="00A31D0D" w:rsidRPr="00F075F9" w:rsidRDefault="00A31D0D" w:rsidP="00A31D0D">
      <w:pPr>
        <w:jc w:val="both"/>
      </w:pPr>
    </w:p>
    <w:p w14:paraId="2568E4DA" w14:textId="77777777" w:rsidR="00A31D0D" w:rsidRPr="00F075F9" w:rsidRDefault="00A31D0D" w:rsidP="00A31D0D">
      <w:pPr>
        <w:jc w:val="both"/>
      </w:pPr>
    </w:p>
    <w:p w14:paraId="44203E6F" w14:textId="77777777" w:rsidR="00A31D0D" w:rsidRPr="00F075F9" w:rsidRDefault="00A31D0D" w:rsidP="00A31D0D">
      <w:pPr>
        <w:jc w:val="both"/>
      </w:pPr>
    </w:p>
    <w:p w14:paraId="24080DDB" w14:textId="77777777" w:rsidR="00A31D0D" w:rsidRPr="00F075F9" w:rsidRDefault="00A31D0D" w:rsidP="00A31D0D">
      <w:pPr>
        <w:jc w:val="both"/>
      </w:pPr>
    </w:p>
    <w:tbl>
      <w:tblPr>
        <w:tblStyle w:val="Grilledutableau"/>
        <w:tblW w:w="10455" w:type="dxa"/>
        <w:tblInd w:w="-289" w:type="dxa"/>
        <w:tblLayout w:type="fixed"/>
        <w:tblLook w:val="04A0" w:firstRow="1" w:lastRow="0" w:firstColumn="1" w:lastColumn="0" w:noHBand="0" w:noVBand="1"/>
      </w:tblPr>
      <w:tblGrid>
        <w:gridCol w:w="1806"/>
        <w:gridCol w:w="950"/>
        <w:gridCol w:w="687"/>
        <w:gridCol w:w="824"/>
        <w:gridCol w:w="825"/>
        <w:gridCol w:w="982"/>
        <w:gridCol w:w="805"/>
        <w:gridCol w:w="825"/>
        <w:gridCol w:w="961"/>
        <w:gridCol w:w="799"/>
        <w:gridCol w:w="991"/>
      </w:tblGrid>
      <w:tr w:rsidR="00A31D0D" w:rsidRPr="00F075F9" w14:paraId="53D0B0DB" w14:textId="77777777" w:rsidTr="002914FE">
        <w:trPr>
          <w:trHeight w:val="583"/>
        </w:trPr>
        <w:tc>
          <w:tcPr>
            <w:tcW w:w="1806" w:type="dxa"/>
            <w:vMerge w:val="restart"/>
          </w:tcPr>
          <w:p w14:paraId="640842C1"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lastRenderedPageBreak/>
              <w:t>Indicateur</w:t>
            </w:r>
          </w:p>
        </w:tc>
        <w:tc>
          <w:tcPr>
            <w:tcW w:w="950" w:type="dxa"/>
            <w:vMerge w:val="restart"/>
            <w:shd w:val="clear" w:color="auto" w:fill="BEBEBE"/>
          </w:tcPr>
          <w:p w14:paraId="2BF5C8CC" w14:textId="77777777" w:rsidR="00A31D0D" w:rsidRPr="00F075F9" w:rsidRDefault="00A31D0D"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687" w:type="dxa"/>
            <w:vMerge w:val="restart"/>
            <w:shd w:val="clear" w:color="auto" w:fill="BEBEBE"/>
          </w:tcPr>
          <w:p w14:paraId="0F24F60E"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T1 2025</w:t>
            </w:r>
          </w:p>
        </w:tc>
        <w:tc>
          <w:tcPr>
            <w:tcW w:w="824" w:type="dxa"/>
            <w:vMerge w:val="restart"/>
            <w:shd w:val="clear" w:color="auto" w:fill="BEBEBE"/>
          </w:tcPr>
          <w:p w14:paraId="1800368E"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T2 2025</w:t>
            </w:r>
          </w:p>
        </w:tc>
        <w:tc>
          <w:tcPr>
            <w:tcW w:w="2612" w:type="dxa"/>
            <w:gridSpan w:val="3"/>
            <w:shd w:val="clear" w:color="auto" w:fill="BEBEBE"/>
            <w:vAlign w:val="center"/>
          </w:tcPr>
          <w:p w14:paraId="5B39934A"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576" w:type="dxa"/>
            <w:gridSpan w:val="4"/>
            <w:shd w:val="clear" w:color="auto" w:fill="83CAEB" w:themeFill="accent1" w:themeFillTint="66"/>
            <w:vAlign w:val="center"/>
          </w:tcPr>
          <w:p w14:paraId="4AD47671"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Résultats S1 2025</w:t>
            </w:r>
          </w:p>
        </w:tc>
      </w:tr>
      <w:tr w:rsidR="00A31D0D" w:rsidRPr="00F075F9" w14:paraId="70B128EE" w14:textId="77777777" w:rsidTr="002914FE">
        <w:trPr>
          <w:trHeight w:val="318"/>
        </w:trPr>
        <w:tc>
          <w:tcPr>
            <w:tcW w:w="1806" w:type="dxa"/>
            <w:vMerge/>
          </w:tcPr>
          <w:p w14:paraId="081D994E" w14:textId="77777777" w:rsidR="00A31D0D" w:rsidRPr="00F075F9" w:rsidRDefault="00A31D0D" w:rsidP="002914FE">
            <w:pPr>
              <w:pStyle w:val="Paragraphedeliste"/>
              <w:ind w:left="0"/>
              <w:jc w:val="both"/>
            </w:pPr>
          </w:p>
        </w:tc>
        <w:tc>
          <w:tcPr>
            <w:tcW w:w="950" w:type="dxa"/>
            <w:vMerge/>
          </w:tcPr>
          <w:p w14:paraId="728EED58" w14:textId="77777777" w:rsidR="00A31D0D" w:rsidRPr="00F075F9" w:rsidRDefault="00A31D0D" w:rsidP="002914FE">
            <w:pPr>
              <w:pStyle w:val="Paragraphedeliste"/>
              <w:ind w:left="0"/>
              <w:jc w:val="center"/>
            </w:pPr>
          </w:p>
        </w:tc>
        <w:tc>
          <w:tcPr>
            <w:tcW w:w="687" w:type="dxa"/>
            <w:vMerge/>
          </w:tcPr>
          <w:p w14:paraId="70344905"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824" w:type="dxa"/>
            <w:vMerge/>
          </w:tcPr>
          <w:p w14:paraId="20E22EFE"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825" w:type="dxa"/>
            <w:shd w:val="clear" w:color="auto" w:fill="BEBEBE"/>
            <w:vAlign w:val="center"/>
          </w:tcPr>
          <w:p w14:paraId="20318896"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82" w:type="dxa"/>
            <w:shd w:val="clear" w:color="auto" w:fill="BEBEBE"/>
            <w:vAlign w:val="center"/>
          </w:tcPr>
          <w:p w14:paraId="2751B2D1"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04" w:type="dxa"/>
            <w:shd w:val="clear" w:color="auto" w:fill="BEBEBE"/>
            <w:vAlign w:val="center"/>
          </w:tcPr>
          <w:p w14:paraId="0445CAFB"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Cible (%)</w:t>
            </w:r>
          </w:p>
        </w:tc>
        <w:tc>
          <w:tcPr>
            <w:tcW w:w="825" w:type="dxa"/>
            <w:shd w:val="clear" w:color="auto" w:fill="83CAEB" w:themeFill="accent1" w:themeFillTint="66"/>
            <w:vAlign w:val="center"/>
          </w:tcPr>
          <w:p w14:paraId="0488A480"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61" w:type="dxa"/>
            <w:shd w:val="clear" w:color="auto" w:fill="83CAEB" w:themeFill="accent1" w:themeFillTint="66"/>
            <w:vAlign w:val="center"/>
          </w:tcPr>
          <w:p w14:paraId="091B8783"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99" w:type="dxa"/>
            <w:shd w:val="clear" w:color="auto" w:fill="83CAEB" w:themeFill="accent1" w:themeFillTint="66"/>
            <w:vAlign w:val="center"/>
          </w:tcPr>
          <w:p w14:paraId="002A6B3C"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w:t>
            </w:r>
          </w:p>
        </w:tc>
        <w:tc>
          <w:tcPr>
            <w:tcW w:w="990" w:type="dxa"/>
            <w:shd w:val="clear" w:color="auto" w:fill="83CAEB" w:themeFill="accent1" w:themeFillTint="66"/>
            <w:vAlign w:val="center"/>
          </w:tcPr>
          <w:p w14:paraId="76608A93"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A31D0D" w:rsidRPr="00F075F9" w14:paraId="4986F1EE" w14:textId="77777777" w:rsidTr="002914FE">
        <w:trPr>
          <w:trHeight w:val="3109"/>
        </w:trPr>
        <w:tc>
          <w:tcPr>
            <w:tcW w:w="1806" w:type="dxa"/>
            <w:shd w:val="clear" w:color="auto" w:fill="E9E9E9"/>
            <w:vAlign w:val="center"/>
          </w:tcPr>
          <w:p w14:paraId="577C2088" w14:textId="77777777" w:rsidR="00A31D0D" w:rsidRPr="00F075F9" w:rsidRDefault="00A31D0D" w:rsidP="002914FE">
            <w:pPr>
              <w:pStyle w:val="Paragraphedeliste"/>
              <w:ind w:left="0"/>
            </w:pPr>
            <w:r w:rsidRPr="00F075F9">
              <w:rPr>
                <w:rFonts w:cs="Calibri"/>
                <w:b/>
                <w:bCs/>
                <w:color w:val="000000"/>
              </w:rPr>
              <w:t>HTS-3c Pourcentage de professionnels du sexe chez lesquels un dépistage du VIH a été réalisé durant la période de rapportage et qui connaissent leur résultat</w:t>
            </w:r>
          </w:p>
        </w:tc>
        <w:tc>
          <w:tcPr>
            <w:tcW w:w="950" w:type="dxa"/>
            <w:tcBorders>
              <w:top w:val="single" w:sz="4" w:space="0" w:color="auto"/>
              <w:left w:val="single" w:sz="4" w:space="0" w:color="auto"/>
              <w:bottom w:val="single" w:sz="4" w:space="0" w:color="auto"/>
              <w:right w:val="single" w:sz="4" w:space="0" w:color="auto"/>
            </w:tcBorders>
            <w:vAlign w:val="center"/>
          </w:tcPr>
          <w:p w14:paraId="4FF8D4CD"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6444</w:t>
            </w:r>
          </w:p>
        </w:tc>
        <w:tc>
          <w:tcPr>
            <w:tcW w:w="687" w:type="dxa"/>
            <w:tcBorders>
              <w:top w:val="single" w:sz="4" w:space="0" w:color="auto"/>
              <w:left w:val="nil"/>
              <w:bottom w:val="single" w:sz="4" w:space="0" w:color="auto"/>
              <w:right w:val="single" w:sz="4" w:space="0" w:color="auto"/>
            </w:tcBorders>
            <w:vAlign w:val="center"/>
          </w:tcPr>
          <w:p w14:paraId="18089CAF" w14:textId="77777777" w:rsidR="00A31D0D" w:rsidRPr="00F075F9" w:rsidRDefault="00A31D0D"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5332</w:t>
            </w:r>
          </w:p>
        </w:tc>
        <w:tc>
          <w:tcPr>
            <w:tcW w:w="824" w:type="dxa"/>
            <w:tcBorders>
              <w:top w:val="single" w:sz="4" w:space="0" w:color="auto"/>
              <w:left w:val="nil"/>
              <w:bottom w:val="single" w:sz="4" w:space="0" w:color="auto"/>
              <w:right w:val="single" w:sz="4" w:space="0" w:color="auto"/>
            </w:tcBorders>
            <w:vAlign w:val="center"/>
          </w:tcPr>
          <w:p w14:paraId="1D6FA1BE" w14:textId="77777777" w:rsidR="00A31D0D" w:rsidRPr="00F075F9" w:rsidRDefault="00A31D0D"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10806</w:t>
            </w:r>
          </w:p>
        </w:tc>
        <w:tc>
          <w:tcPr>
            <w:tcW w:w="825" w:type="dxa"/>
            <w:tcBorders>
              <w:top w:val="single" w:sz="4" w:space="0" w:color="auto"/>
              <w:left w:val="nil"/>
              <w:bottom w:val="single" w:sz="4" w:space="0" w:color="auto"/>
              <w:right w:val="single" w:sz="4" w:space="0" w:color="auto"/>
            </w:tcBorders>
            <w:shd w:val="clear" w:color="000000" w:fill="E7E6E6"/>
            <w:vAlign w:val="center"/>
          </w:tcPr>
          <w:p w14:paraId="5E9CCA64"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22 655</w:t>
            </w:r>
          </w:p>
        </w:tc>
        <w:tc>
          <w:tcPr>
            <w:tcW w:w="982" w:type="dxa"/>
            <w:tcBorders>
              <w:top w:val="single" w:sz="4" w:space="0" w:color="auto"/>
              <w:left w:val="nil"/>
              <w:bottom w:val="single" w:sz="4" w:space="0" w:color="auto"/>
              <w:right w:val="single" w:sz="4" w:space="0" w:color="auto"/>
            </w:tcBorders>
            <w:shd w:val="clear" w:color="000000" w:fill="E7E6E6"/>
            <w:vAlign w:val="center"/>
          </w:tcPr>
          <w:p w14:paraId="400D4C66"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326 184</w:t>
            </w:r>
          </w:p>
        </w:tc>
        <w:tc>
          <w:tcPr>
            <w:tcW w:w="804" w:type="dxa"/>
            <w:tcBorders>
              <w:top w:val="single" w:sz="4" w:space="0" w:color="auto"/>
              <w:left w:val="nil"/>
              <w:bottom w:val="single" w:sz="4" w:space="0" w:color="auto"/>
              <w:right w:val="single" w:sz="4" w:space="0" w:color="auto"/>
            </w:tcBorders>
            <w:shd w:val="clear" w:color="000000" w:fill="E7E6E6"/>
            <w:vAlign w:val="center"/>
          </w:tcPr>
          <w:p w14:paraId="5938B860"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6,95%</w:t>
            </w:r>
          </w:p>
        </w:tc>
        <w:tc>
          <w:tcPr>
            <w:tcW w:w="825" w:type="dxa"/>
            <w:tcBorders>
              <w:top w:val="single" w:sz="4" w:space="0" w:color="auto"/>
              <w:left w:val="nil"/>
              <w:bottom w:val="single" w:sz="4" w:space="0" w:color="auto"/>
              <w:right w:val="single" w:sz="4" w:space="0" w:color="auto"/>
            </w:tcBorders>
            <w:vAlign w:val="center"/>
          </w:tcPr>
          <w:p w14:paraId="7006141D"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16138</w:t>
            </w:r>
          </w:p>
        </w:tc>
        <w:tc>
          <w:tcPr>
            <w:tcW w:w="961" w:type="dxa"/>
            <w:tcBorders>
              <w:top w:val="single" w:sz="4" w:space="0" w:color="auto"/>
              <w:left w:val="nil"/>
              <w:bottom w:val="single" w:sz="4" w:space="0" w:color="auto"/>
              <w:right w:val="single" w:sz="4" w:space="0" w:color="auto"/>
            </w:tcBorders>
            <w:vAlign w:val="center"/>
          </w:tcPr>
          <w:p w14:paraId="343E8330"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326 184</w:t>
            </w:r>
          </w:p>
        </w:tc>
        <w:tc>
          <w:tcPr>
            <w:tcW w:w="799" w:type="dxa"/>
            <w:tcBorders>
              <w:top w:val="single" w:sz="4" w:space="0" w:color="auto"/>
              <w:left w:val="nil"/>
              <w:bottom w:val="single" w:sz="4" w:space="0" w:color="auto"/>
              <w:right w:val="single" w:sz="4" w:space="0" w:color="auto"/>
            </w:tcBorders>
            <w:vAlign w:val="center"/>
          </w:tcPr>
          <w:p w14:paraId="5D3B9C95"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4,95%</w:t>
            </w:r>
          </w:p>
        </w:tc>
        <w:tc>
          <w:tcPr>
            <w:tcW w:w="990" w:type="dxa"/>
            <w:tcBorders>
              <w:top w:val="single" w:sz="4" w:space="0" w:color="auto"/>
              <w:left w:val="single" w:sz="4" w:space="0" w:color="auto"/>
              <w:bottom w:val="single" w:sz="4" w:space="0" w:color="auto"/>
              <w:right w:val="single" w:sz="4" w:space="0" w:color="auto"/>
            </w:tcBorders>
            <w:shd w:val="clear" w:color="000000" w:fill="FFD966"/>
            <w:vAlign w:val="center"/>
          </w:tcPr>
          <w:p w14:paraId="52F2D94B"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71,2%</w:t>
            </w:r>
          </w:p>
        </w:tc>
      </w:tr>
    </w:tbl>
    <w:p w14:paraId="58FC0F93" w14:textId="77777777" w:rsidR="00A31D0D" w:rsidRPr="00F075F9" w:rsidRDefault="00A31D0D" w:rsidP="00A31D0D">
      <w:pPr>
        <w:jc w:val="both"/>
      </w:pPr>
      <w:r w:rsidRPr="00F075F9">
        <w:t>Source des données : Optima 2.40</w:t>
      </w:r>
    </w:p>
    <w:p w14:paraId="58EE6B9E" w14:textId="77777777" w:rsidR="00A31D0D" w:rsidRPr="00F075F9" w:rsidRDefault="00A31D0D" w:rsidP="00A31D0D">
      <w:pPr>
        <w:jc w:val="both"/>
      </w:pPr>
    </w:p>
    <w:p w14:paraId="4DA377D8" w14:textId="77777777" w:rsidR="00A31D0D" w:rsidRPr="00F075F9" w:rsidRDefault="00A31D0D" w:rsidP="00A31D0D">
      <w:pPr>
        <w:jc w:val="both"/>
        <w:rPr>
          <w:b/>
          <w:bCs/>
        </w:rPr>
      </w:pPr>
      <w:r w:rsidRPr="00F075F9">
        <w:rPr>
          <w:b/>
          <w:bCs/>
        </w:rPr>
        <w:t>Commentaires du PR sur le HTS-3c</w:t>
      </w:r>
    </w:p>
    <w:p w14:paraId="13398572" w14:textId="77777777" w:rsidR="00A31D0D" w:rsidRPr="00F075F9" w:rsidRDefault="00A31D0D" w:rsidP="00A31D0D">
      <w:pPr>
        <w:jc w:val="both"/>
      </w:pPr>
      <w:r w:rsidRPr="00F075F9">
        <w:t xml:space="preserve">Comme pour les précédents indicateurs, la complétude des données sur optima est de 100%. </w:t>
      </w:r>
    </w:p>
    <w:p w14:paraId="20C11014" w14:textId="77777777" w:rsidR="00A31D0D" w:rsidRPr="00F075F9" w:rsidRDefault="00A31D0D" w:rsidP="00A31D0D">
      <w:pPr>
        <w:jc w:val="both"/>
      </w:pPr>
      <w:r w:rsidRPr="00F075F9">
        <w:t xml:space="preserve">Durant la période sous rapportage, au moins 16 138 professionnels du sexe (PS) ont bénéficié d’un test de dépistage du VIH sur les 22 655 attendus, soit une performance de 71,2%. D’un trimestre à un autre dans le même semestre, ce nombre est passé de 5 332 à 16 138, ce qui dénote une progression notable dans les efforts fournis pour atteindre cette performance. </w:t>
      </w:r>
    </w:p>
    <w:p w14:paraId="29928271" w14:textId="77777777" w:rsidR="00A31D0D" w:rsidRPr="00F075F9" w:rsidRDefault="00A31D0D" w:rsidP="00A31D0D">
      <w:pPr>
        <w:jc w:val="both"/>
      </w:pPr>
      <w:r w:rsidRPr="00F075F9">
        <w:t>Il faut noter que les 16 138 PS testées représentent 73% (16 138/22 201) des PS sensibilisées. Et 100% d’entre les dépistés ont retiré leurs résultats pour un taux de séropositivité de 2%. Et 94% parmi les cas positifs ont été mis sous TARV.</w:t>
      </w:r>
    </w:p>
    <w:p w14:paraId="74A30536" w14:textId="77777777" w:rsidR="00A31D0D" w:rsidRPr="00F075F9" w:rsidRDefault="00A31D0D" w:rsidP="00A31D0D">
      <w:pPr>
        <w:jc w:val="both"/>
      </w:pPr>
      <w:r w:rsidRPr="00F075F9">
        <w:t xml:space="preserve">À l’image de l’indicateur HTS-3a, l'analyse des résultats par Centre Convivial met en évidence des disparités importantes. Parmi les CC les plus performants, on note le </w:t>
      </w:r>
      <w:r w:rsidRPr="00F075F9">
        <w:rPr>
          <w:b/>
          <w:bCs/>
        </w:rPr>
        <w:t xml:space="preserve">CC Matadi (247,8%), le CI HGR Kalemie (151,2%), le CC Bunia (125,9%), le CC </w:t>
      </w:r>
      <w:proofErr w:type="spellStart"/>
      <w:r w:rsidRPr="00F075F9">
        <w:rPr>
          <w:b/>
          <w:bCs/>
        </w:rPr>
        <w:t>Bwanya</w:t>
      </w:r>
      <w:proofErr w:type="spellEnd"/>
      <w:r w:rsidRPr="00F075F9">
        <w:rPr>
          <w:b/>
          <w:bCs/>
        </w:rPr>
        <w:t xml:space="preserve"> 10 (117,5%) et le CC </w:t>
      </w:r>
      <w:proofErr w:type="spellStart"/>
      <w:r w:rsidRPr="00F075F9">
        <w:rPr>
          <w:b/>
          <w:bCs/>
        </w:rPr>
        <w:t>Bwanya</w:t>
      </w:r>
      <w:proofErr w:type="spellEnd"/>
      <w:r w:rsidRPr="00F075F9">
        <w:rPr>
          <w:b/>
          <w:bCs/>
        </w:rPr>
        <w:t xml:space="preserve"> VIII (108,5%). </w:t>
      </w:r>
      <w:r w:rsidRPr="00F075F9">
        <w:t xml:space="preserve">En revanche, plusieurs CC/CI ont réalisé des performances assez faibles. C’est le cas de CI HGR de Lisala (29,5%), le Centre Convivial Lemba (29,8%), le CC </w:t>
      </w:r>
      <w:proofErr w:type="spellStart"/>
      <w:r w:rsidRPr="00F075F9">
        <w:t>Kansele</w:t>
      </w:r>
      <w:proofErr w:type="spellEnd"/>
      <w:r w:rsidRPr="00F075F9">
        <w:t xml:space="preserve"> (35,2%) et le CC </w:t>
      </w:r>
      <w:proofErr w:type="spellStart"/>
      <w:r w:rsidRPr="00F075F9">
        <w:t>Barumbu</w:t>
      </w:r>
      <w:proofErr w:type="spellEnd"/>
      <w:r w:rsidRPr="00F075F9">
        <w:t xml:space="preserve"> (41,3%)</w:t>
      </w:r>
      <w:r w:rsidRPr="00F075F9">
        <w:rPr>
          <w:b/>
          <w:bCs/>
        </w:rPr>
        <w:t>.</w:t>
      </w:r>
      <w:r w:rsidRPr="00F075F9">
        <w:t xml:space="preserve"> Ces différences traduisent des disparités infranationales importantes en termes d’accès, d’approvisionnement et de mobilisation communautaire.</w:t>
      </w:r>
    </w:p>
    <w:p w14:paraId="2D0BD27E" w14:textId="77777777" w:rsidR="00A31D0D" w:rsidRPr="00F075F9" w:rsidRDefault="00A31D0D" w:rsidP="00A31D0D">
      <w:pPr>
        <w:jc w:val="both"/>
      </w:pPr>
      <w:r w:rsidRPr="00F075F9">
        <w:lastRenderedPageBreak/>
        <w:t>Les facteurs de succès, d’échec et le contexte opérationnel présentés pour l’indicateur HTS-3a sont également à considérer pour cet indicateur.</w:t>
      </w:r>
    </w:p>
    <w:p w14:paraId="3996F893" w14:textId="77777777" w:rsidR="00A31D0D" w:rsidRPr="00F075F9" w:rsidRDefault="00A31D0D" w:rsidP="00A31D0D">
      <w:pPr>
        <w:jc w:val="both"/>
      </w:pPr>
      <w:r w:rsidRPr="00F075F9">
        <w:t>Pour remédier aux insuffisances, des actions similaires à celles envisagées pour l’indicateur HTS-3a seront déployées.</w:t>
      </w:r>
    </w:p>
    <w:p w14:paraId="6FCB0035" w14:textId="77777777" w:rsidR="00A31D0D" w:rsidRPr="00F075F9" w:rsidRDefault="00A31D0D" w:rsidP="00A31D0D">
      <w:pPr>
        <w:jc w:val="both"/>
      </w:pPr>
    </w:p>
    <w:p w14:paraId="59D3E52B" w14:textId="77777777" w:rsidR="00A31D0D" w:rsidRPr="00F075F9" w:rsidRDefault="00A31D0D" w:rsidP="00A31D0D">
      <w:pPr>
        <w:jc w:val="both"/>
      </w:pPr>
    </w:p>
    <w:tbl>
      <w:tblPr>
        <w:tblStyle w:val="Grilledutableau"/>
        <w:tblW w:w="10490" w:type="dxa"/>
        <w:tblInd w:w="-289" w:type="dxa"/>
        <w:tblLayout w:type="fixed"/>
        <w:tblLook w:val="04A0" w:firstRow="1" w:lastRow="0" w:firstColumn="1" w:lastColumn="0" w:noHBand="0" w:noVBand="1"/>
      </w:tblPr>
      <w:tblGrid>
        <w:gridCol w:w="1780"/>
        <w:gridCol w:w="936"/>
        <w:gridCol w:w="677"/>
        <w:gridCol w:w="730"/>
        <w:gridCol w:w="665"/>
        <w:gridCol w:w="930"/>
        <w:gridCol w:w="801"/>
        <w:gridCol w:w="664"/>
        <w:gridCol w:w="931"/>
        <w:gridCol w:w="930"/>
        <w:gridCol w:w="1446"/>
      </w:tblGrid>
      <w:tr w:rsidR="00A31D0D" w:rsidRPr="00F075F9" w14:paraId="7C600FC4" w14:textId="77777777" w:rsidTr="002914FE">
        <w:trPr>
          <w:trHeight w:val="1103"/>
        </w:trPr>
        <w:tc>
          <w:tcPr>
            <w:tcW w:w="1780" w:type="dxa"/>
            <w:vMerge w:val="restart"/>
          </w:tcPr>
          <w:p w14:paraId="310B7C76"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Indicateur</w:t>
            </w:r>
          </w:p>
        </w:tc>
        <w:tc>
          <w:tcPr>
            <w:tcW w:w="936" w:type="dxa"/>
            <w:vMerge w:val="restart"/>
            <w:shd w:val="clear" w:color="auto" w:fill="BEBEBE"/>
          </w:tcPr>
          <w:p w14:paraId="20B28C8B" w14:textId="77777777" w:rsidR="00A31D0D" w:rsidRPr="00F075F9" w:rsidRDefault="00A31D0D"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677" w:type="dxa"/>
            <w:vMerge w:val="restart"/>
            <w:shd w:val="clear" w:color="auto" w:fill="BEBEBE"/>
          </w:tcPr>
          <w:p w14:paraId="7CC66385"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T1 2025</w:t>
            </w:r>
          </w:p>
        </w:tc>
        <w:tc>
          <w:tcPr>
            <w:tcW w:w="730" w:type="dxa"/>
            <w:vMerge w:val="restart"/>
            <w:shd w:val="clear" w:color="auto" w:fill="BEBEBE"/>
          </w:tcPr>
          <w:p w14:paraId="61E4D9E7"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T2 2025</w:t>
            </w:r>
          </w:p>
        </w:tc>
        <w:tc>
          <w:tcPr>
            <w:tcW w:w="2396" w:type="dxa"/>
            <w:gridSpan w:val="3"/>
            <w:shd w:val="clear" w:color="auto" w:fill="BEBEBE"/>
            <w:vAlign w:val="center"/>
          </w:tcPr>
          <w:p w14:paraId="23886509"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971" w:type="dxa"/>
            <w:gridSpan w:val="4"/>
            <w:shd w:val="clear" w:color="auto" w:fill="83CAEB" w:themeFill="accent1" w:themeFillTint="66"/>
            <w:vAlign w:val="center"/>
          </w:tcPr>
          <w:p w14:paraId="4298D63F"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Résultats S1 2025</w:t>
            </w:r>
          </w:p>
        </w:tc>
      </w:tr>
      <w:tr w:rsidR="00A31D0D" w:rsidRPr="00F075F9" w14:paraId="1E7D06BB" w14:textId="77777777" w:rsidTr="002914FE">
        <w:trPr>
          <w:trHeight w:val="323"/>
        </w:trPr>
        <w:tc>
          <w:tcPr>
            <w:tcW w:w="1780" w:type="dxa"/>
            <w:vMerge/>
          </w:tcPr>
          <w:p w14:paraId="0C49CD17" w14:textId="77777777" w:rsidR="00A31D0D" w:rsidRPr="00F075F9" w:rsidRDefault="00A31D0D" w:rsidP="002914FE">
            <w:pPr>
              <w:pStyle w:val="Paragraphedeliste"/>
              <w:ind w:left="0"/>
              <w:jc w:val="both"/>
            </w:pPr>
          </w:p>
        </w:tc>
        <w:tc>
          <w:tcPr>
            <w:tcW w:w="936" w:type="dxa"/>
            <w:vMerge/>
          </w:tcPr>
          <w:p w14:paraId="064D9AA4" w14:textId="77777777" w:rsidR="00A31D0D" w:rsidRPr="00F075F9" w:rsidRDefault="00A31D0D" w:rsidP="002914FE">
            <w:pPr>
              <w:pStyle w:val="Paragraphedeliste"/>
              <w:ind w:left="0"/>
              <w:jc w:val="center"/>
            </w:pPr>
          </w:p>
        </w:tc>
        <w:tc>
          <w:tcPr>
            <w:tcW w:w="677" w:type="dxa"/>
            <w:vMerge/>
          </w:tcPr>
          <w:p w14:paraId="6A322A4A"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730" w:type="dxa"/>
            <w:vMerge/>
          </w:tcPr>
          <w:p w14:paraId="218D593D"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665" w:type="dxa"/>
            <w:shd w:val="clear" w:color="auto" w:fill="BEBEBE"/>
            <w:vAlign w:val="center"/>
          </w:tcPr>
          <w:p w14:paraId="46A53268"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30" w:type="dxa"/>
            <w:shd w:val="clear" w:color="auto" w:fill="BEBEBE"/>
            <w:vAlign w:val="center"/>
          </w:tcPr>
          <w:p w14:paraId="4A8B90EE"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01" w:type="dxa"/>
            <w:shd w:val="clear" w:color="auto" w:fill="BEBEBE"/>
            <w:vAlign w:val="center"/>
          </w:tcPr>
          <w:p w14:paraId="6743C96F"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Cible (%)</w:t>
            </w:r>
          </w:p>
        </w:tc>
        <w:tc>
          <w:tcPr>
            <w:tcW w:w="664" w:type="dxa"/>
            <w:shd w:val="clear" w:color="auto" w:fill="83CAEB" w:themeFill="accent1" w:themeFillTint="66"/>
            <w:vAlign w:val="center"/>
          </w:tcPr>
          <w:p w14:paraId="2E939266"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31" w:type="dxa"/>
            <w:shd w:val="clear" w:color="auto" w:fill="83CAEB" w:themeFill="accent1" w:themeFillTint="66"/>
            <w:vAlign w:val="center"/>
          </w:tcPr>
          <w:p w14:paraId="6E641C2F"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30" w:type="dxa"/>
            <w:shd w:val="clear" w:color="auto" w:fill="83CAEB" w:themeFill="accent1" w:themeFillTint="66"/>
            <w:vAlign w:val="center"/>
          </w:tcPr>
          <w:p w14:paraId="119A1BB5"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w:t>
            </w:r>
          </w:p>
        </w:tc>
        <w:tc>
          <w:tcPr>
            <w:tcW w:w="1446" w:type="dxa"/>
            <w:shd w:val="clear" w:color="auto" w:fill="83CAEB" w:themeFill="accent1" w:themeFillTint="66"/>
            <w:vAlign w:val="center"/>
          </w:tcPr>
          <w:p w14:paraId="6025A021"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A31D0D" w:rsidRPr="00F075F9" w14:paraId="73B83D8C" w14:textId="77777777" w:rsidTr="002914FE">
        <w:trPr>
          <w:trHeight w:val="3157"/>
        </w:trPr>
        <w:tc>
          <w:tcPr>
            <w:tcW w:w="1780" w:type="dxa"/>
            <w:shd w:val="clear" w:color="auto" w:fill="E9E9E9"/>
            <w:vAlign w:val="center"/>
          </w:tcPr>
          <w:p w14:paraId="3D77E743" w14:textId="77777777" w:rsidR="00A31D0D" w:rsidRPr="00F075F9" w:rsidRDefault="00A31D0D" w:rsidP="002914FE">
            <w:pPr>
              <w:pStyle w:val="Paragraphedeliste"/>
              <w:ind w:left="0"/>
            </w:pPr>
            <w:r w:rsidRPr="00F075F9">
              <w:rPr>
                <w:rFonts w:cs="Calibri"/>
                <w:b/>
                <w:bCs/>
                <w:color w:val="000000"/>
              </w:rPr>
              <w:t>HTS-3d Pourcentage de personnes qui s’injectent des drogues chez lesquels un dépistage du VIH a été réalisé durant la période de rapportage et qui connaissent leur résultat</w:t>
            </w:r>
          </w:p>
        </w:tc>
        <w:tc>
          <w:tcPr>
            <w:tcW w:w="936" w:type="dxa"/>
            <w:vAlign w:val="center"/>
          </w:tcPr>
          <w:p w14:paraId="3BEFB913"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1462</w:t>
            </w:r>
          </w:p>
        </w:tc>
        <w:tc>
          <w:tcPr>
            <w:tcW w:w="677" w:type="dxa"/>
            <w:vAlign w:val="center"/>
          </w:tcPr>
          <w:p w14:paraId="769BEF88" w14:textId="77777777" w:rsidR="00A31D0D" w:rsidRPr="00F075F9" w:rsidRDefault="00A31D0D" w:rsidP="002914FE">
            <w:pPr>
              <w:pStyle w:val="Paragraphedeliste"/>
              <w:ind w:left="0"/>
              <w:jc w:val="both"/>
              <w:rPr>
                <w:rFonts w:ascii="Aptos Display" w:hAnsi="Aptos Display" w:cs="Calibri"/>
                <w:color w:val="000000"/>
                <w:sz w:val="20"/>
                <w:szCs w:val="20"/>
              </w:rPr>
            </w:pPr>
            <w:r w:rsidRPr="00F075F9">
              <w:rPr>
                <w:rFonts w:ascii="Calibri" w:hAnsi="Calibri" w:cs="Calibri"/>
                <w:color w:val="000000"/>
                <w:sz w:val="22"/>
                <w:szCs w:val="22"/>
              </w:rPr>
              <w:t>1214</w:t>
            </w:r>
          </w:p>
        </w:tc>
        <w:tc>
          <w:tcPr>
            <w:tcW w:w="730" w:type="dxa"/>
            <w:vAlign w:val="center"/>
          </w:tcPr>
          <w:p w14:paraId="5741283F" w14:textId="77777777" w:rsidR="00A31D0D" w:rsidRPr="00F075F9" w:rsidRDefault="00A31D0D"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2570</w:t>
            </w:r>
          </w:p>
        </w:tc>
        <w:tc>
          <w:tcPr>
            <w:tcW w:w="665" w:type="dxa"/>
            <w:shd w:val="clear" w:color="000000" w:fill="E7E6E6"/>
            <w:vAlign w:val="center"/>
          </w:tcPr>
          <w:p w14:paraId="79B1CBD4"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3 952</w:t>
            </w:r>
          </w:p>
        </w:tc>
        <w:tc>
          <w:tcPr>
            <w:tcW w:w="930" w:type="dxa"/>
            <w:shd w:val="clear" w:color="000000" w:fill="E7E6E6"/>
            <w:vAlign w:val="center"/>
          </w:tcPr>
          <w:p w14:paraId="34E58724"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114 002</w:t>
            </w:r>
          </w:p>
        </w:tc>
        <w:tc>
          <w:tcPr>
            <w:tcW w:w="801" w:type="dxa"/>
            <w:shd w:val="clear" w:color="000000" w:fill="E7E6E6"/>
            <w:vAlign w:val="center"/>
          </w:tcPr>
          <w:p w14:paraId="647E451F"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3,47%</w:t>
            </w:r>
          </w:p>
        </w:tc>
        <w:tc>
          <w:tcPr>
            <w:tcW w:w="664" w:type="dxa"/>
            <w:vAlign w:val="center"/>
          </w:tcPr>
          <w:p w14:paraId="5B2E9652"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3784</w:t>
            </w:r>
          </w:p>
        </w:tc>
        <w:tc>
          <w:tcPr>
            <w:tcW w:w="931" w:type="dxa"/>
            <w:vAlign w:val="center"/>
          </w:tcPr>
          <w:p w14:paraId="25499C63"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114 002</w:t>
            </w:r>
          </w:p>
        </w:tc>
        <w:tc>
          <w:tcPr>
            <w:tcW w:w="930" w:type="dxa"/>
            <w:vAlign w:val="center"/>
          </w:tcPr>
          <w:p w14:paraId="14013837"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3,32%</w:t>
            </w:r>
          </w:p>
        </w:tc>
        <w:tc>
          <w:tcPr>
            <w:tcW w:w="1446" w:type="dxa"/>
            <w:shd w:val="clear" w:color="000000" w:fill="A9D08E"/>
            <w:vAlign w:val="center"/>
          </w:tcPr>
          <w:p w14:paraId="0DD65CF1"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95,7%</w:t>
            </w:r>
          </w:p>
        </w:tc>
      </w:tr>
    </w:tbl>
    <w:p w14:paraId="7E1E264E" w14:textId="77777777" w:rsidR="00A31D0D" w:rsidRPr="00F075F9" w:rsidRDefault="00A31D0D" w:rsidP="00A31D0D">
      <w:pPr>
        <w:jc w:val="both"/>
      </w:pPr>
      <w:r w:rsidRPr="00F075F9">
        <w:t>Source des données : Optima 2.40</w:t>
      </w:r>
    </w:p>
    <w:p w14:paraId="65B087AD" w14:textId="77777777" w:rsidR="00A31D0D" w:rsidRPr="00F075F9" w:rsidRDefault="00A31D0D" w:rsidP="00A31D0D">
      <w:pPr>
        <w:jc w:val="both"/>
        <w:rPr>
          <w:b/>
          <w:bCs/>
        </w:rPr>
      </w:pPr>
      <w:r w:rsidRPr="00F075F9">
        <w:rPr>
          <w:b/>
          <w:bCs/>
        </w:rPr>
        <w:t>Commentaires du PR sur le HTS-3d</w:t>
      </w:r>
    </w:p>
    <w:p w14:paraId="4051F61A" w14:textId="77777777" w:rsidR="00A31D0D" w:rsidRPr="00F075F9" w:rsidRDefault="00A31D0D" w:rsidP="00A31D0D">
      <w:pPr>
        <w:jc w:val="both"/>
      </w:pPr>
      <w:r w:rsidRPr="00F075F9">
        <w:t>Avec une complétude de 100% dans OPTIMA, au moins 3 784 UDI ont bénéficié d’un test de dépistage au T1 2025 sur un total de 3 952 attendus, soit une performance de 95,7%. D’un trimestre à un autre, cet indicateur a montré des performances remarquables, soient 1462 au T4 2024, 1214 au T1 2025 et 2570 au T2 2025.</w:t>
      </w:r>
    </w:p>
    <w:p w14:paraId="235B1FC2" w14:textId="77777777" w:rsidR="00A31D0D" w:rsidRPr="00F075F9" w:rsidRDefault="00A31D0D" w:rsidP="00A31D0D">
      <w:pPr>
        <w:jc w:val="both"/>
      </w:pPr>
      <w:r w:rsidRPr="00F075F9">
        <w:t>Sur un ensemble de 5 406 UDI, au moins 70% (3 784) ont été testés et ont reçu leurs résultats pour un taux de séropositivité de 2%. Et 96% des personnes dépistées positives ont été mises sous traitement antirétroviral.</w:t>
      </w:r>
    </w:p>
    <w:p w14:paraId="79DE26EC" w14:textId="77777777" w:rsidR="00A31D0D" w:rsidRPr="00F075F9" w:rsidRDefault="00A31D0D" w:rsidP="00A31D0D">
      <w:pPr>
        <w:jc w:val="both"/>
      </w:pPr>
      <w:r w:rsidRPr="00F075F9">
        <w:t>Le contexte, les facteurs de succès et les défis décrits pour l’indicateur HTS-3a sont valables pour cet indicateur. A ces défis s’ajoutent l'instabilité sécuritaire dans certains quartiers chauds, en particulier à Bukavu, affectant l'accès aux services.</w:t>
      </w:r>
    </w:p>
    <w:p w14:paraId="5A881695" w14:textId="77777777" w:rsidR="00A31D0D" w:rsidRPr="00F075F9" w:rsidRDefault="00A31D0D" w:rsidP="00A31D0D">
      <w:pPr>
        <w:jc w:val="both"/>
      </w:pPr>
      <w:r w:rsidRPr="00F075F9">
        <w:t xml:space="preserve">Pour pallier ces difficultés, des mesures similaires à celles prévues pour HTS-3a sont en cours ou planifiées. </w:t>
      </w:r>
    </w:p>
    <w:tbl>
      <w:tblPr>
        <w:tblStyle w:val="Grilledutableau"/>
        <w:tblW w:w="10510" w:type="dxa"/>
        <w:tblInd w:w="-289" w:type="dxa"/>
        <w:tblLayout w:type="fixed"/>
        <w:tblLook w:val="04A0" w:firstRow="1" w:lastRow="0" w:firstColumn="1" w:lastColumn="0" w:noHBand="0" w:noVBand="1"/>
      </w:tblPr>
      <w:tblGrid>
        <w:gridCol w:w="1816"/>
        <w:gridCol w:w="955"/>
        <w:gridCol w:w="691"/>
        <w:gridCol w:w="828"/>
        <w:gridCol w:w="829"/>
        <w:gridCol w:w="988"/>
        <w:gridCol w:w="808"/>
        <w:gridCol w:w="684"/>
        <w:gridCol w:w="814"/>
        <w:gridCol w:w="950"/>
        <w:gridCol w:w="1147"/>
      </w:tblGrid>
      <w:tr w:rsidR="00A31D0D" w:rsidRPr="00F075F9" w14:paraId="27AC52F4" w14:textId="77777777" w:rsidTr="002914FE">
        <w:trPr>
          <w:trHeight w:val="1085"/>
        </w:trPr>
        <w:tc>
          <w:tcPr>
            <w:tcW w:w="1816" w:type="dxa"/>
            <w:vMerge w:val="restart"/>
          </w:tcPr>
          <w:p w14:paraId="4534EC8D"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lastRenderedPageBreak/>
              <w:t>Indicateur</w:t>
            </w:r>
          </w:p>
        </w:tc>
        <w:tc>
          <w:tcPr>
            <w:tcW w:w="955" w:type="dxa"/>
            <w:vMerge w:val="restart"/>
            <w:shd w:val="clear" w:color="auto" w:fill="BEBEBE"/>
          </w:tcPr>
          <w:p w14:paraId="1A63B544" w14:textId="77777777" w:rsidR="00A31D0D" w:rsidRPr="00F075F9" w:rsidRDefault="00A31D0D"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691" w:type="dxa"/>
            <w:vMerge w:val="restart"/>
            <w:shd w:val="clear" w:color="auto" w:fill="BEBEBE"/>
          </w:tcPr>
          <w:p w14:paraId="7E2DB596"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T1 2025</w:t>
            </w:r>
          </w:p>
        </w:tc>
        <w:tc>
          <w:tcPr>
            <w:tcW w:w="828" w:type="dxa"/>
            <w:vMerge w:val="restart"/>
            <w:shd w:val="clear" w:color="auto" w:fill="BEBEBE"/>
          </w:tcPr>
          <w:p w14:paraId="3A9C2B10"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T2 2025</w:t>
            </w:r>
          </w:p>
        </w:tc>
        <w:tc>
          <w:tcPr>
            <w:tcW w:w="2625" w:type="dxa"/>
            <w:gridSpan w:val="3"/>
            <w:shd w:val="clear" w:color="auto" w:fill="BEBEBE"/>
            <w:vAlign w:val="center"/>
          </w:tcPr>
          <w:p w14:paraId="142CCA20"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595" w:type="dxa"/>
            <w:gridSpan w:val="4"/>
            <w:shd w:val="clear" w:color="auto" w:fill="83CAEB" w:themeFill="accent1" w:themeFillTint="66"/>
            <w:vAlign w:val="center"/>
          </w:tcPr>
          <w:p w14:paraId="1552E1C7"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Résultats S1 2025</w:t>
            </w:r>
          </w:p>
        </w:tc>
      </w:tr>
      <w:tr w:rsidR="00A31D0D" w:rsidRPr="00F075F9" w14:paraId="7DDE189D" w14:textId="77777777" w:rsidTr="007D02E1">
        <w:trPr>
          <w:trHeight w:val="318"/>
        </w:trPr>
        <w:tc>
          <w:tcPr>
            <w:tcW w:w="1816" w:type="dxa"/>
            <w:vMerge/>
          </w:tcPr>
          <w:p w14:paraId="18F7354E" w14:textId="77777777" w:rsidR="00A31D0D" w:rsidRPr="00F075F9" w:rsidRDefault="00A31D0D" w:rsidP="002914FE">
            <w:pPr>
              <w:pStyle w:val="Paragraphedeliste"/>
              <w:ind w:left="0"/>
              <w:jc w:val="both"/>
            </w:pPr>
          </w:p>
        </w:tc>
        <w:tc>
          <w:tcPr>
            <w:tcW w:w="955" w:type="dxa"/>
            <w:vMerge/>
          </w:tcPr>
          <w:p w14:paraId="5EC4C2EE" w14:textId="77777777" w:rsidR="00A31D0D" w:rsidRPr="00F075F9" w:rsidRDefault="00A31D0D" w:rsidP="002914FE">
            <w:pPr>
              <w:pStyle w:val="Paragraphedeliste"/>
              <w:ind w:left="0"/>
              <w:jc w:val="center"/>
            </w:pPr>
          </w:p>
        </w:tc>
        <w:tc>
          <w:tcPr>
            <w:tcW w:w="691" w:type="dxa"/>
            <w:vMerge/>
          </w:tcPr>
          <w:p w14:paraId="3D771D3F"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828" w:type="dxa"/>
            <w:vMerge/>
          </w:tcPr>
          <w:p w14:paraId="1DA9CC3C" w14:textId="77777777" w:rsidR="00A31D0D" w:rsidRPr="00F075F9" w:rsidRDefault="00A31D0D"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829" w:type="dxa"/>
            <w:shd w:val="clear" w:color="auto" w:fill="BEBEBE"/>
            <w:vAlign w:val="center"/>
          </w:tcPr>
          <w:p w14:paraId="160CE52D"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88" w:type="dxa"/>
            <w:shd w:val="clear" w:color="auto" w:fill="BEBEBE"/>
            <w:vAlign w:val="center"/>
          </w:tcPr>
          <w:p w14:paraId="07C0BEDA"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08" w:type="dxa"/>
            <w:shd w:val="clear" w:color="auto" w:fill="BEBEBE"/>
            <w:vAlign w:val="center"/>
          </w:tcPr>
          <w:p w14:paraId="086659F6"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Cible (%)</w:t>
            </w:r>
          </w:p>
        </w:tc>
        <w:tc>
          <w:tcPr>
            <w:tcW w:w="684" w:type="dxa"/>
            <w:shd w:val="clear" w:color="auto" w:fill="83CAEB" w:themeFill="accent1" w:themeFillTint="66"/>
            <w:vAlign w:val="center"/>
          </w:tcPr>
          <w:p w14:paraId="5995DEA6"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14" w:type="dxa"/>
            <w:shd w:val="clear" w:color="auto" w:fill="83CAEB" w:themeFill="accent1" w:themeFillTint="66"/>
            <w:vAlign w:val="center"/>
          </w:tcPr>
          <w:p w14:paraId="658B6D8E" w14:textId="77777777" w:rsidR="00A31D0D" w:rsidRPr="00F075F9" w:rsidRDefault="00A31D0D"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50" w:type="dxa"/>
            <w:shd w:val="clear" w:color="auto" w:fill="83CAEB" w:themeFill="accent1" w:themeFillTint="66"/>
            <w:vAlign w:val="center"/>
          </w:tcPr>
          <w:p w14:paraId="30F6C5F7"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w:t>
            </w:r>
          </w:p>
        </w:tc>
        <w:tc>
          <w:tcPr>
            <w:tcW w:w="1147" w:type="dxa"/>
            <w:shd w:val="clear" w:color="auto" w:fill="83CAEB" w:themeFill="accent1" w:themeFillTint="66"/>
            <w:vAlign w:val="center"/>
          </w:tcPr>
          <w:p w14:paraId="0615655B" w14:textId="77777777" w:rsidR="00A31D0D" w:rsidRPr="00F075F9" w:rsidRDefault="00A31D0D"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A31D0D" w:rsidRPr="00F075F9" w14:paraId="2589B7BB" w14:textId="77777777" w:rsidTr="007D02E1">
        <w:trPr>
          <w:trHeight w:val="1523"/>
        </w:trPr>
        <w:tc>
          <w:tcPr>
            <w:tcW w:w="1816" w:type="dxa"/>
            <w:shd w:val="clear" w:color="auto" w:fill="E9E9E9"/>
            <w:vAlign w:val="center"/>
          </w:tcPr>
          <w:p w14:paraId="4C6346F4" w14:textId="77777777" w:rsidR="00A31D0D" w:rsidRPr="00F075F9" w:rsidRDefault="00A31D0D" w:rsidP="002914FE">
            <w:pPr>
              <w:pStyle w:val="Paragraphedeliste"/>
              <w:ind w:left="0"/>
            </w:pPr>
            <w:r w:rsidRPr="00F075F9">
              <w:rPr>
                <w:rFonts w:cs="Calibri"/>
                <w:b/>
                <w:bCs/>
                <w:color w:val="000000"/>
              </w:rPr>
              <w:t>HTS-6 Nombre de trousses d’</w:t>
            </w:r>
            <w:proofErr w:type="spellStart"/>
            <w:r w:rsidRPr="00F075F9">
              <w:rPr>
                <w:rFonts w:cs="Calibri"/>
                <w:b/>
                <w:bCs/>
                <w:color w:val="000000"/>
              </w:rPr>
              <w:t>autodépistage</w:t>
            </w:r>
            <w:proofErr w:type="spellEnd"/>
            <w:r w:rsidRPr="00F075F9">
              <w:rPr>
                <w:rFonts w:cs="Calibri"/>
                <w:b/>
                <w:bCs/>
                <w:color w:val="000000"/>
              </w:rPr>
              <w:t xml:space="preserve"> du VIH distribuées</w:t>
            </w:r>
          </w:p>
        </w:tc>
        <w:tc>
          <w:tcPr>
            <w:tcW w:w="955" w:type="dxa"/>
            <w:vAlign w:val="center"/>
          </w:tcPr>
          <w:p w14:paraId="17A5EBAA" w14:textId="77777777" w:rsidR="00A31D0D" w:rsidRPr="00F075F9" w:rsidRDefault="00A31D0D" w:rsidP="002914FE">
            <w:pPr>
              <w:pStyle w:val="Paragraphedeliste"/>
              <w:ind w:left="0"/>
              <w:jc w:val="center"/>
            </w:pPr>
            <w:r w:rsidRPr="00F075F9">
              <w:rPr>
                <w:rFonts w:ascii="Aptos Display" w:hAnsi="Aptos Display" w:cs="Calibri"/>
                <w:color w:val="000000"/>
                <w:sz w:val="20"/>
                <w:szCs w:val="20"/>
              </w:rPr>
              <w:t>3402</w:t>
            </w:r>
          </w:p>
        </w:tc>
        <w:tc>
          <w:tcPr>
            <w:tcW w:w="691" w:type="dxa"/>
            <w:vAlign w:val="center"/>
          </w:tcPr>
          <w:p w14:paraId="534E973F" w14:textId="77777777" w:rsidR="00A31D0D" w:rsidRPr="00F075F9" w:rsidRDefault="00A31D0D"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711</w:t>
            </w:r>
          </w:p>
        </w:tc>
        <w:tc>
          <w:tcPr>
            <w:tcW w:w="828" w:type="dxa"/>
            <w:vAlign w:val="center"/>
          </w:tcPr>
          <w:p w14:paraId="090D3876" w14:textId="4D2B9D00" w:rsidR="00A31D0D" w:rsidRPr="00F075F9" w:rsidRDefault="0062342D" w:rsidP="002914FE">
            <w:pPr>
              <w:pStyle w:val="Paragraphedeliste"/>
              <w:ind w:left="0"/>
              <w:jc w:val="both"/>
              <w:rPr>
                <w:rFonts w:ascii="Aptos Display" w:hAnsi="Aptos Display" w:cs="Calibri"/>
                <w:color w:val="000000"/>
                <w:sz w:val="20"/>
                <w:szCs w:val="20"/>
              </w:rPr>
            </w:pPr>
            <w:r>
              <w:rPr>
                <w:rFonts w:ascii="Aptos Display" w:hAnsi="Aptos Display" w:cs="Calibri"/>
                <w:color w:val="000000"/>
                <w:sz w:val="20"/>
                <w:szCs w:val="20"/>
              </w:rPr>
              <w:t>5420</w:t>
            </w:r>
          </w:p>
        </w:tc>
        <w:tc>
          <w:tcPr>
            <w:tcW w:w="829" w:type="dxa"/>
            <w:shd w:val="clear" w:color="000000" w:fill="E7E6E6"/>
            <w:vAlign w:val="center"/>
          </w:tcPr>
          <w:p w14:paraId="5B3BC1E9"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7122</w:t>
            </w:r>
          </w:p>
        </w:tc>
        <w:tc>
          <w:tcPr>
            <w:tcW w:w="988" w:type="dxa"/>
            <w:shd w:val="clear" w:color="000000" w:fill="E7E6E6"/>
            <w:vAlign w:val="center"/>
          </w:tcPr>
          <w:p w14:paraId="1E8AE695"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 NA</w:t>
            </w:r>
          </w:p>
        </w:tc>
        <w:tc>
          <w:tcPr>
            <w:tcW w:w="808" w:type="dxa"/>
            <w:shd w:val="clear" w:color="000000" w:fill="E7E6E6"/>
            <w:vAlign w:val="center"/>
          </w:tcPr>
          <w:p w14:paraId="51BC9AEC"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 NA</w:t>
            </w:r>
          </w:p>
        </w:tc>
        <w:tc>
          <w:tcPr>
            <w:tcW w:w="684" w:type="dxa"/>
            <w:vAlign w:val="center"/>
          </w:tcPr>
          <w:p w14:paraId="4B9043CC" w14:textId="66CC428E" w:rsidR="00A31D0D" w:rsidRPr="00F075F9" w:rsidRDefault="00181879" w:rsidP="002914FE">
            <w:pPr>
              <w:pStyle w:val="Paragraphedeliste"/>
              <w:ind w:left="0"/>
              <w:jc w:val="both"/>
            </w:pPr>
            <w:r>
              <w:rPr>
                <w:rFonts w:ascii="Aptos Display" w:hAnsi="Aptos Display" w:cs="Calibri"/>
                <w:color w:val="000000"/>
                <w:sz w:val="20"/>
                <w:szCs w:val="20"/>
              </w:rPr>
              <w:t>6131</w:t>
            </w:r>
          </w:p>
        </w:tc>
        <w:tc>
          <w:tcPr>
            <w:tcW w:w="814" w:type="dxa"/>
            <w:vAlign w:val="center"/>
          </w:tcPr>
          <w:p w14:paraId="7885D0CF"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 NA</w:t>
            </w:r>
          </w:p>
        </w:tc>
        <w:tc>
          <w:tcPr>
            <w:tcW w:w="950" w:type="dxa"/>
            <w:vAlign w:val="center"/>
          </w:tcPr>
          <w:p w14:paraId="40A87E06" w14:textId="77777777" w:rsidR="00A31D0D" w:rsidRPr="00F075F9" w:rsidRDefault="00A31D0D" w:rsidP="002914FE">
            <w:pPr>
              <w:pStyle w:val="Paragraphedeliste"/>
              <w:ind w:left="0"/>
              <w:jc w:val="both"/>
            </w:pPr>
            <w:r w:rsidRPr="00F075F9">
              <w:rPr>
                <w:rFonts w:ascii="Aptos Display" w:hAnsi="Aptos Display" w:cs="Calibri"/>
                <w:color w:val="000000"/>
                <w:sz w:val="20"/>
                <w:szCs w:val="20"/>
              </w:rPr>
              <w:t> NA</w:t>
            </w:r>
          </w:p>
        </w:tc>
        <w:tc>
          <w:tcPr>
            <w:tcW w:w="1147" w:type="dxa"/>
            <w:shd w:val="clear" w:color="000000" w:fill="FFD966"/>
            <w:vAlign w:val="center"/>
          </w:tcPr>
          <w:p w14:paraId="1AF78A84" w14:textId="5CD29FDD" w:rsidR="00A31D0D" w:rsidRPr="00F075F9" w:rsidRDefault="00181879" w:rsidP="002914FE">
            <w:pPr>
              <w:pStyle w:val="Paragraphedeliste"/>
              <w:ind w:left="0"/>
              <w:jc w:val="both"/>
            </w:pPr>
            <w:r>
              <w:rPr>
                <w:rFonts w:ascii="Aptos Display" w:hAnsi="Aptos Display" w:cs="Calibri"/>
                <w:color w:val="000000"/>
                <w:sz w:val="20"/>
                <w:szCs w:val="20"/>
              </w:rPr>
              <w:t>8</w:t>
            </w:r>
            <w:r w:rsidR="00A31D0D" w:rsidRPr="00F075F9">
              <w:rPr>
                <w:rFonts w:ascii="Aptos Display" w:hAnsi="Aptos Display" w:cs="Calibri"/>
                <w:color w:val="000000"/>
                <w:sz w:val="20"/>
                <w:szCs w:val="20"/>
              </w:rPr>
              <w:t>6,</w:t>
            </w:r>
            <w:r>
              <w:rPr>
                <w:rFonts w:ascii="Aptos Display" w:hAnsi="Aptos Display" w:cs="Calibri"/>
                <w:color w:val="000000"/>
                <w:sz w:val="20"/>
                <w:szCs w:val="20"/>
              </w:rPr>
              <w:t>09</w:t>
            </w:r>
            <w:r w:rsidR="00A31D0D" w:rsidRPr="00F075F9">
              <w:rPr>
                <w:rFonts w:ascii="Aptos Display" w:hAnsi="Aptos Display" w:cs="Calibri"/>
                <w:color w:val="000000"/>
                <w:sz w:val="20"/>
                <w:szCs w:val="20"/>
              </w:rPr>
              <w:t>%</w:t>
            </w:r>
          </w:p>
        </w:tc>
      </w:tr>
    </w:tbl>
    <w:p w14:paraId="2F5A493E" w14:textId="77777777" w:rsidR="00A31D0D" w:rsidRPr="00F075F9" w:rsidRDefault="00A31D0D" w:rsidP="00A31D0D">
      <w:pPr>
        <w:jc w:val="both"/>
      </w:pPr>
      <w:r w:rsidRPr="00F075F9">
        <w:t>Source des données : Optima 2.40</w:t>
      </w:r>
    </w:p>
    <w:p w14:paraId="35B88DDD" w14:textId="77777777" w:rsidR="00A31D0D" w:rsidRPr="00F075F9" w:rsidRDefault="00A31D0D" w:rsidP="00A31D0D">
      <w:pPr>
        <w:jc w:val="both"/>
        <w:rPr>
          <w:b/>
          <w:bCs/>
        </w:rPr>
      </w:pPr>
      <w:r w:rsidRPr="00F075F9">
        <w:rPr>
          <w:b/>
          <w:bCs/>
        </w:rPr>
        <w:t>Commentaires du PR sur le HTS-6</w:t>
      </w:r>
    </w:p>
    <w:p w14:paraId="042735EC" w14:textId="2B7F9616" w:rsidR="00A31D0D" w:rsidRPr="00F075F9" w:rsidRDefault="00A31D0D" w:rsidP="00A31D0D">
      <w:pPr>
        <w:jc w:val="both"/>
      </w:pPr>
      <w:r w:rsidRPr="00F075F9">
        <w:t xml:space="preserve">Avec une complétude 100% dans optima, au moins </w:t>
      </w:r>
      <w:r w:rsidR="003A4A38">
        <w:t>6131</w:t>
      </w:r>
      <w:r w:rsidRPr="00F075F9">
        <w:t xml:space="preserve"> trousses d’auto-dépistage du VIH ont été distribuées aux populations clés au cours de la période sous rapportage sur les 7 122 attendues, soit une performance de </w:t>
      </w:r>
      <w:r w:rsidR="003A4A38">
        <w:t>8</w:t>
      </w:r>
      <w:r w:rsidRPr="00F075F9">
        <w:t>6,</w:t>
      </w:r>
      <w:r w:rsidR="003A4A38">
        <w:t>09</w:t>
      </w:r>
      <w:r w:rsidRPr="00F075F9">
        <w:t>%.</w:t>
      </w:r>
    </w:p>
    <w:p w14:paraId="6F4C6204" w14:textId="77777777" w:rsidR="00A31D0D" w:rsidRPr="00F075F9" w:rsidRDefault="00A31D0D" w:rsidP="00A31D0D">
      <w:pPr>
        <w:jc w:val="both"/>
      </w:pPr>
      <w:r w:rsidRPr="00F075F9">
        <w:t>Il s’agit d’une nouvelle activité, aucune analyse de tendance n’est envisageable.</w:t>
      </w:r>
    </w:p>
    <w:p w14:paraId="60593800" w14:textId="2419E0D2" w:rsidR="00A31D0D" w:rsidRPr="00F075F9" w:rsidRDefault="00A31D0D" w:rsidP="00A31D0D">
      <w:pPr>
        <w:jc w:val="both"/>
      </w:pPr>
      <w:r w:rsidRPr="00F075F9">
        <w:t xml:space="preserve">Il faut noter que sur les </w:t>
      </w:r>
      <w:r w:rsidR="00881488">
        <w:t>6</w:t>
      </w:r>
      <w:r w:rsidR="002936BA">
        <w:t xml:space="preserve"> </w:t>
      </w:r>
      <w:r w:rsidR="00881488">
        <w:t>1</w:t>
      </w:r>
      <w:r w:rsidR="002936BA">
        <w:t>31</w:t>
      </w:r>
      <w:r w:rsidRPr="00F075F9">
        <w:t xml:space="preserve"> autotests distribués, 4 96</w:t>
      </w:r>
      <w:r w:rsidR="00881488">
        <w:t>6</w:t>
      </w:r>
      <w:r w:rsidRPr="00F075F9">
        <w:t xml:space="preserve"> étaient assistés</w:t>
      </w:r>
      <w:r w:rsidR="0099024F">
        <w:t xml:space="preserve"> soit </w:t>
      </w:r>
      <w:r w:rsidRPr="00F075F9">
        <w:t>81%</w:t>
      </w:r>
      <w:r w:rsidR="006954ED">
        <w:t xml:space="preserve"> </w:t>
      </w:r>
      <w:r w:rsidR="0099024F">
        <w:t>et</w:t>
      </w:r>
      <w:r w:rsidRPr="00F075F9">
        <w:t xml:space="preserve"> </w:t>
      </w:r>
      <w:r w:rsidR="00AA7310">
        <w:t>1165</w:t>
      </w:r>
      <w:r w:rsidRPr="00F075F9">
        <w:t xml:space="preserve"> étaient non assistés</w:t>
      </w:r>
      <w:r w:rsidR="0099024F">
        <w:t> (19%)</w:t>
      </w:r>
      <w:r w:rsidRPr="00F075F9">
        <w:t>. Un total de 4295 autotests a été retournés, dont 158 étaient réactifs, ce qui représente un taux d'autotests réactifs de 4%.</w:t>
      </w:r>
    </w:p>
    <w:p w14:paraId="59C63E47" w14:textId="77777777" w:rsidR="00A31D0D" w:rsidRPr="00F075F9" w:rsidRDefault="00A31D0D" w:rsidP="00A31D0D">
      <w:pPr>
        <w:jc w:val="both"/>
      </w:pPr>
      <w:r w:rsidRPr="00F075F9">
        <w:t>La méthode de collecte des données repose sur le système Optima version 2.40, avec une complétude des données à 100%, garantissant une couverture complète des rapports soumis. Le circuit de collecte et de rapport est aligné sur celui de l’indicateur HTS-3a, ce qui assure cohérence et fiabilité dans le suivi des résultats.</w:t>
      </w:r>
    </w:p>
    <w:p w14:paraId="25500150" w14:textId="7C1541FF" w:rsidR="00A31D0D" w:rsidRPr="00F075F9" w:rsidRDefault="00A31D0D" w:rsidP="00A31D0D">
      <w:pPr>
        <w:jc w:val="both"/>
      </w:pPr>
      <w:r w:rsidRPr="00F075F9">
        <w:t xml:space="preserve">L'analyse par Centre Convivial (CC) montre des disparités significatives. Certaines structures ont affiché des performances exceptionnelles, notamment </w:t>
      </w:r>
      <w:r w:rsidRPr="00F075F9">
        <w:rPr>
          <w:b/>
          <w:bCs/>
        </w:rPr>
        <w:t>le centre Convivial de Boma (379,0%),</w:t>
      </w:r>
      <w:r w:rsidRPr="00F075F9">
        <w:t xml:space="preserve"> </w:t>
      </w:r>
      <w:r w:rsidRPr="00F075F9">
        <w:rPr>
          <w:b/>
          <w:bCs/>
        </w:rPr>
        <w:t xml:space="preserve">le centre Convivial de </w:t>
      </w:r>
      <w:proofErr w:type="spellStart"/>
      <w:r w:rsidRPr="00F075F9">
        <w:rPr>
          <w:b/>
          <w:bCs/>
        </w:rPr>
        <w:t>Kimpese</w:t>
      </w:r>
      <w:proofErr w:type="spellEnd"/>
      <w:r w:rsidRPr="00F075F9">
        <w:rPr>
          <w:b/>
          <w:bCs/>
        </w:rPr>
        <w:t xml:space="preserve"> (237,7%</w:t>
      </w:r>
      <w:r w:rsidR="004758E9" w:rsidRPr="00F075F9">
        <w:rPr>
          <w:b/>
          <w:bCs/>
        </w:rPr>
        <w:t>), le</w:t>
      </w:r>
      <w:r w:rsidRPr="00F075F9">
        <w:rPr>
          <w:b/>
          <w:bCs/>
        </w:rPr>
        <w:t xml:space="preserve"> Centre </w:t>
      </w:r>
      <w:proofErr w:type="spellStart"/>
      <w:r w:rsidRPr="00F075F9">
        <w:rPr>
          <w:b/>
          <w:bCs/>
        </w:rPr>
        <w:t>Matonge</w:t>
      </w:r>
      <w:proofErr w:type="spellEnd"/>
      <w:r w:rsidRPr="00F075F9">
        <w:rPr>
          <w:b/>
          <w:bCs/>
        </w:rPr>
        <w:t xml:space="preserve"> (236,1%), le Centre Convivial Tshikapa (209,3%), le Centre Convivial </w:t>
      </w:r>
      <w:proofErr w:type="spellStart"/>
      <w:r w:rsidRPr="00F075F9">
        <w:rPr>
          <w:b/>
          <w:bCs/>
        </w:rPr>
        <w:t>Mwene</w:t>
      </w:r>
      <w:proofErr w:type="spellEnd"/>
      <w:r w:rsidRPr="00F075F9">
        <w:rPr>
          <w:b/>
          <w:bCs/>
        </w:rPr>
        <w:t xml:space="preserve"> </w:t>
      </w:r>
      <w:proofErr w:type="spellStart"/>
      <w:r w:rsidRPr="00F075F9">
        <w:rPr>
          <w:b/>
          <w:bCs/>
        </w:rPr>
        <w:t>Ditu</w:t>
      </w:r>
      <w:proofErr w:type="spellEnd"/>
      <w:r w:rsidRPr="00F075F9">
        <w:rPr>
          <w:b/>
          <w:bCs/>
        </w:rPr>
        <w:t xml:space="preserve"> (199,1%), le Centre Convivial </w:t>
      </w:r>
      <w:proofErr w:type="spellStart"/>
      <w:r w:rsidRPr="00F075F9">
        <w:rPr>
          <w:b/>
          <w:bCs/>
        </w:rPr>
        <w:t>Barumbu</w:t>
      </w:r>
      <w:proofErr w:type="spellEnd"/>
      <w:r w:rsidRPr="00F075F9">
        <w:rPr>
          <w:b/>
          <w:bCs/>
        </w:rPr>
        <w:t xml:space="preserve"> (171,0%) et le Centre Convivial Lemba (135,1%)</w:t>
      </w:r>
      <w:r w:rsidRPr="00F075F9">
        <w:t xml:space="preserve">. D'autres centres ont obtenu des résultats plus modestes, comme le </w:t>
      </w:r>
      <w:r w:rsidRPr="00F075F9">
        <w:rPr>
          <w:b/>
          <w:bCs/>
        </w:rPr>
        <w:t xml:space="preserve">Centre </w:t>
      </w:r>
      <w:proofErr w:type="spellStart"/>
      <w:r w:rsidRPr="00F075F9">
        <w:rPr>
          <w:b/>
          <w:bCs/>
        </w:rPr>
        <w:t>Bwanya</w:t>
      </w:r>
      <w:proofErr w:type="spellEnd"/>
      <w:r w:rsidRPr="00F075F9">
        <w:rPr>
          <w:b/>
          <w:bCs/>
        </w:rPr>
        <w:t xml:space="preserve"> (98,6%), le Centre Convivial Matadi (85,6%), le Centre Convivial Kikwit Nord (73,9%), le Centre Convivial </w:t>
      </w:r>
      <w:proofErr w:type="spellStart"/>
      <w:r w:rsidRPr="00F075F9">
        <w:rPr>
          <w:b/>
          <w:bCs/>
        </w:rPr>
        <w:t>Tshopo</w:t>
      </w:r>
      <w:proofErr w:type="spellEnd"/>
      <w:r w:rsidRPr="00F075F9">
        <w:rPr>
          <w:b/>
          <w:bCs/>
        </w:rPr>
        <w:t xml:space="preserve"> (70,6%), le Centre Convivial </w:t>
      </w:r>
      <w:proofErr w:type="spellStart"/>
      <w:r w:rsidRPr="00F075F9">
        <w:rPr>
          <w:b/>
          <w:bCs/>
        </w:rPr>
        <w:t>Makiso</w:t>
      </w:r>
      <w:proofErr w:type="spellEnd"/>
      <w:r w:rsidRPr="00F075F9">
        <w:rPr>
          <w:b/>
          <w:bCs/>
        </w:rPr>
        <w:t xml:space="preserve"> - Kisangani (53,8%), le Centre Convivial Bunia (54,1%), le Centre </w:t>
      </w:r>
      <w:proofErr w:type="spellStart"/>
      <w:r w:rsidRPr="00F075F9">
        <w:rPr>
          <w:b/>
          <w:bCs/>
        </w:rPr>
        <w:t>Bwanya</w:t>
      </w:r>
      <w:proofErr w:type="spellEnd"/>
      <w:r w:rsidRPr="00F075F9">
        <w:rPr>
          <w:b/>
          <w:bCs/>
        </w:rPr>
        <w:t xml:space="preserve"> IV- </w:t>
      </w:r>
      <w:proofErr w:type="spellStart"/>
      <w:r w:rsidRPr="00F075F9">
        <w:rPr>
          <w:b/>
          <w:bCs/>
        </w:rPr>
        <w:t>Karisimbi</w:t>
      </w:r>
      <w:proofErr w:type="spellEnd"/>
      <w:r w:rsidRPr="00F075F9">
        <w:rPr>
          <w:b/>
          <w:bCs/>
        </w:rPr>
        <w:t xml:space="preserve"> (54,1%), le Centre IST Victoire (42,4%) et le Centre Convivial </w:t>
      </w:r>
      <w:proofErr w:type="spellStart"/>
      <w:r w:rsidRPr="00F075F9">
        <w:rPr>
          <w:b/>
          <w:bCs/>
        </w:rPr>
        <w:t>Kansele</w:t>
      </w:r>
      <w:proofErr w:type="spellEnd"/>
      <w:r w:rsidRPr="00F075F9">
        <w:rPr>
          <w:b/>
          <w:bCs/>
        </w:rPr>
        <w:t xml:space="preserve"> (21,6%).</w:t>
      </w:r>
      <w:r w:rsidRPr="00F075F9">
        <w:t xml:space="preserve"> Plusieurs centres n'ont pas atteint les objectifs, voire n'ont pas distribué d'autotests comme </w:t>
      </w:r>
      <w:r w:rsidRPr="00F075F9">
        <w:rPr>
          <w:b/>
          <w:bCs/>
        </w:rPr>
        <w:t xml:space="preserve">le Centre </w:t>
      </w:r>
      <w:proofErr w:type="spellStart"/>
      <w:r w:rsidRPr="00F075F9">
        <w:rPr>
          <w:b/>
          <w:bCs/>
        </w:rPr>
        <w:t>Bwanya</w:t>
      </w:r>
      <w:proofErr w:type="spellEnd"/>
      <w:r w:rsidRPr="00F075F9">
        <w:rPr>
          <w:b/>
          <w:bCs/>
        </w:rPr>
        <w:t xml:space="preserve"> V-</w:t>
      </w:r>
      <w:proofErr w:type="spellStart"/>
      <w:r w:rsidRPr="00F075F9">
        <w:rPr>
          <w:b/>
          <w:bCs/>
        </w:rPr>
        <w:t>Ibanda</w:t>
      </w:r>
      <w:proofErr w:type="spellEnd"/>
      <w:r w:rsidRPr="00F075F9">
        <w:rPr>
          <w:b/>
          <w:bCs/>
        </w:rPr>
        <w:t xml:space="preserve"> (0,0%), le Centre Intégré HGR Kalemie (9,0%), le Centre Convivial </w:t>
      </w:r>
      <w:proofErr w:type="spellStart"/>
      <w:r w:rsidRPr="00F075F9">
        <w:rPr>
          <w:b/>
          <w:bCs/>
        </w:rPr>
        <w:t>Bwanya</w:t>
      </w:r>
      <w:proofErr w:type="spellEnd"/>
      <w:r w:rsidRPr="00F075F9">
        <w:rPr>
          <w:b/>
          <w:bCs/>
        </w:rPr>
        <w:t xml:space="preserve"> 10 (112,8%), Centre Convivial </w:t>
      </w:r>
      <w:proofErr w:type="spellStart"/>
      <w:r w:rsidRPr="00F075F9">
        <w:rPr>
          <w:b/>
          <w:bCs/>
        </w:rPr>
        <w:t>Bwanya</w:t>
      </w:r>
      <w:proofErr w:type="spellEnd"/>
      <w:r w:rsidRPr="00F075F9">
        <w:rPr>
          <w:b/>
          <w:bCs/>
        </w:rPr>
        <w:t xml:space="preserve"> VIII (0,0%), le Centre Convivial </w:t>
      </w:r>
      <w:proofErr w:type="spellStart"/>
      <w:r w:rsidRPr="00F075F9">
        <w:rPr>
          <w:b/>
          <w:bCs/>
        </w:rPr>
        <w:t>Bwanya</w:t>
      </w:r>
      <w:proofErr w:type="spellEnd"/>
      <w:r w:rsidRPr="00F075F9">
        <w:rPr>
          <w:b/>
          <w:bCs/>
        </w:rPr>
        <w:t xml:space="preserve"> VII (0,0%), le Centre Intégré HGR de Lisala (0,0%) et le Centre Convivial </w:t>
      </w:r>
      <w:proofErr w:type="spellStart"/>
      <w:r w:rsidRPr="00F075F9">
        <w:rPr>
          <w:b/>
          <w:bCs/>
        </w:rPr>
        <w:t>Bwanya</w:t>
      </w:r>
      <w:proofErr w:type="spellEnd"/>
      <w:r w:rsidRPr="00F075F9">
        <w:rPr>
          <w:b/>
          <w:bCs/>
        </w:rPr>
        <w:t xml:space="preserve"> VI (6,0%). </w:t>
      </w:r>
      <w:r w:rsidRPr="00F075F9">
        <w:t>Les faibles performances de ces centres sont généralement dues au stock limité d’intrants.</w:t>
      </w:r>
    </w:p>
    <w:p w14:paraId="094F1389" w14:textId="77777777" w:rsidR="00A31D0D" w:rsidRPr="00F075F9" w:rsidRDefault="00A31D0D" w:rsidP="00A31D0D">
      <w:pPr>
        <w:jc w:val="both"/>
      </w:pPr>
      <w:r w:rsidRPr="00F075F9">
        <w:lastRenderedPageBreak/>
        <w:t xml:space="preserve">Les facteurs de succès et défis restent similaires à ceux identifiés pour l’indicateur HTS -3a. Les principaux obstacles à l’atteinte de la cible comprennent la rupture de stock des trousses </w:t>
      </w:r>
      <w:proofErr w:type="spellStart"/>
      <w:r w:rsidRPr="00F075F9">
        <w:t>Oraquick</w:t>
      </w:r>
      <w:proofErr w:type="spellEnd"/>
      <w:r w:rsidRPr="00F075F9">
        <w:t xml:space="preserve">, en partie attribuable au retard de partage des plans de distribution provinciaux, notamment dans les provinces de l’Équateur, Maniema, et </w:t>
      </w:r>
      <w:proofErr w:type="spellStart"/>
      <w:r w:rsidRPr="00F075F9">
        <w:t>Mongala</w:t>
      </w:r>
      <w:proofErr w:type="spellEnd"/>
      <w:r w:rsidRPr="00F075F9">
        <w:t xml:space="preserve"> avant le recrutement des sous récipiendaires.</w:t>
      </w:r>
    </w:p>
    <w:p w14:paraId="39AD2E76" w14:textId="77777777" w:rsidR="00A31D0D" w:rsidRPr="00F075F9" w:rsidRDefault="00A31D0D" w:rsidP="00A31D0D">
      <w:pPr>
        <w:jc w:val="both"/>
      </w:pPr>
      <w:r w:rsidRPr="00F075F9">
        <w:t>Pour améliorer la performance, les actions à entreprendre sont les mêmes que celles de l'indicateur HTS-3a.</w:t>
      </w:r>
    </w:p>
    <w:p w14:paraId="43DC277B" w14:textId="77777777" w:rsidR="00A31D0D" w:rsidRPr="00F075F9" w:rsidRDefault="00A31D0D" w:rsidP="00A31D0D">
      <w:pPr>
        <w:jc w:val="both"/>
      </w:pPr>
      <w:r w:rsidRPr="00F075F9">
        <w:t>L’indicateur devra progresser davantage grâce à la disponibilité suffisante des stocks d’</w:t>
      </w:r>
      <w:proofErr w:type="spellStart"/>
      <w:r w:rsidRPr="00F075F9">
        <w:t>Oraquick</w:t>
      </w:r>
      <w:proofErr w:type="spellEnd"/>
      <w:r w:rsidRPr="00F075F9">
        <w:t xml:space="preserve"> dans les sites primaires de distribution. Il conviendra également de poursuivre les formations des prestataires et pairs éducateurs sur l’utilisation des outils de collecte pour maintenir la rigueur et la complétude des rapports.</w:t>
      </w:r>
    </w:p>
    <w:p w14:paraId="7D53966D" w14:textId="38EECCAA" w:rsidR="001F6203" w:rsidRPr="00F075F9" w:rsidRDefault="001F6203" w:rsidP="00DF49FA">
      <w:pPr>
        <w:jc w:val="center"/>
        <w:rPr>
          <w:color w:val="0070C0"/>
        </w:rPr>
      </w:pPr>
      <w:bookmarkStart w:id="7" w:name="_Hlk193061048"/>
    </w:p>
    <w:p w14:paraId="5A73C9A9" w14:textId="77777777" w:rsidR="00DF49FA" w:rsidRPr="00F075F9" w:rsidRDefault="00DF49FA" w:rsidP="00DF49FA">
      <w:pPr>
        <w:jc w:val="center"/>
        <w:rPr>
          <w:color w:val="0070C0"/>
        </w:rPr>
      </w:pPr>
    </w:p>
    <w:p w14:paraId="1C6B3CE4" w14:textId="77777777" w:rsidR="00DF49FA" w:rsidRPr="00F075F9" w:rsidRDefault="00DF49FA" w:rsidP="00DF49FA">
      <w:pPr>
        <w:jc w:val="center"/>
        <w:rPr>
          <w:color w:val="0070C0"/>
        </w:rPr>
      </w:pPr>
    </w:p>
    <w:tbl>
      <w:tblPr>
        <w:tblStyle w:val="Grilledutableau"/>
        <w:tblW w:w="10632" w:type="dxa"/>
        <w:tblInd w:w="-289" w:type="dxa"/>
        <w:tblLayout w:type="fixed"/>
        <w:tblLook w:val="04A0" w:firstRow="1" w:lastRow="0" w:firstColumn="1" w:lastColumn="0" w:noHBand="0" w:noVBand="1"/>
      </w:tblPr>
      <w:tblGrid>
        <w:gridCol w:w="1897"/>
        <w:gridCol w:w="939"/>
        <w:gridCol w:w="781"/>
        <w:gridCol w:w="865"/>
        <w:gridCol w:w="764"/>
        <w:gridCol w:w="708"/>
        <w:gridCol w:w="851"/>
        <w:gridCol w:w="709"/>
        <w:gridCol w:w="708"/>
        <w:gridCol w:w="993"/>
        <w:gridCol w:w="1417"/>
      </w:tblGrid>
      <w:tr w:rsidR="001F6203" w:rsidRPr="00F075F9" w14:paraId="71606203" w14:textId="77777777" w:rsidTr="002914FE">
        <w:trPr>
          <w:trHeight w:val="1022"/>
        </w:trPr>
        <w:tc>
          <w:tcPr>
            <w:tcW w:w="1897" w:type="dxa"/>
            <w:vMerge w:val="restart"/>
          </w:tcPr>
          <w:p w14:paraId="0ABEC052"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Indicateur</w:t>
            </w:r>
          </w:p>
        </w:tc>
        <w:tc>
          <w:tcPr>
            <w:tcW w:w="939" w:type="dxa"/>
            <w:vMerge w:val="restart"/>
            <w:shd w:val="clear" w:color="auto" w:fill="BEBEBE"/>
          </w:tcPr>
          <w:p w14:paraId="52E4D2D8" w14:textId="77777777" w:rsidR="001F6203" w:rsidRPr="00F075F9" w:rsidRDefault="001F6203"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781" w:type="dxa"/>
            <w:vMerge w:val="restart"/>
            <w:shd w:val="clear" w:color="auto" w:fill="BEBEBE"/>
          </w:tcPr>
          <w:p w14:paraId="2F798621"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T1 2025</w:t>
            </w:r>
          </w:p>
        </w:tc>
        <w:tc>
          <w:tcPr>
            <w:tcW w:w="865" w:type="dxa"/>
            <w:vMerge w:val="restart"/>
            <w:shd w:val="clear" w:color="auto" w:fill="BEBEBE"/>
          </w:tcPr>
          <w:p w14:paraId="641B7BC6"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T2 2025</w:t>
            </w:r>
          </w:p>
        </w:tc>
        <w:tc>
          <w:tcPr>
            <w:tcW w:w="2323" w:type="dxa"/>
            <w:gridSpan w:val="3"/>
            <w:shd w:val="clear" w:color="auto" w:fill="BEBEBE"/>
            <w:vAlign w:val="center"/>
          </w:tcPr>
          <w:p w14:paraId="0D684854"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827" w:type="dxa"/>
            <w:gridSpan w:val="4"/>
            <w:shd w:val="clear" w:color="auto" w:fill="83CAEB" w:themeFill="accent1" w:themeFillTint="66"/>
            <w:vAlign w:val="center"/>
          </w:tcPr>
          <w:p w14:paraId="74AB797B"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Résultats S1 2025</w:t>
            </w:r>
          </w:p>
        </w:tc>
      </w:tr>
      <w:tr w:rsidR="001F6203" w:rsidRPr="00F075F9" w14:paraId="05550AE9" w14:textId="77777777" w:rsidTr="002914FE">
        <w:trPr>
          <w:trHeight w:val="300"/>
        </w:trPr>
        <w:tc>
          <w:tcPr>
            <w:tcW w:w="1897" w:type="dxa"/>
            <w:vMerge/>
          </w:tcPr>
          <w:p w14:paraId="199CF086" w14:textId="77777777" w:rsidR="001F6203" w:rsidRPr="00F075F9" w:rsidRDefault="001F6203" w:rsidP="002914FE">
            <w:pPr>
              <w:pStyle w:val="Paragraphedeliste"/>
              <w:ind w:left="0"/>
              <w:jc w:val="both"/>
            </w:pPr>
          </w:p>
        </w:tc>
        <w:tc>
          <w:tcPr>
            <w:tcW w:w="939" w:type="dxa"/>
            <w:vMerge/>
          </w:tcPr>
          <w:p w14:paraId="34C3F9A8" w14:textId="77777777" w:rsidR="001F6203" w:rsidRPr="00F075F9" w:rsidRDefault="001F6203" w:rsidP="002914FE">
            <w:pPr>
              <w:pStyle w:val="Paragraphedeliste"/>
              <w:ind w:left="0"/>
              <w:jc w:val="center"/>
            </w:pPr>
          </w:p>
        </w:tc>
        <w:tc>
          <w:tcPr>
            <w:tcW w:w="781" w:type="dxa"/>
            <w:vMerge/>
          </w:tcPr>
          <w:p w14:paraId="5D4D659D"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865" w:type="dxa"/>
            <w:vMerge/>
          </w:tcPr>
          <w:p w14:paraId="7D403217"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764" w:type="dxa"/>
            <w:shd w:val="clear" w:color="auto" w:fill="BEBEBE"/>
            <w:vAlign w:val="center"/>
          </w:tcPr>
          <w:p w14:paraId="22CE9870"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08" w:type="dxa"/>
            <w:shd w:val="clear" w:color="auto" w:fill="BEBEBE"/>
            <w:vAlign w:val="center"/>
          </w:tcPr>
          <w:p w14:paraId="6ABAD2BB"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51" w:type="dxa"/>
            <w:shd w:val="clear" w:color="auto" w:fill="BEBEBE"/>
            <w:vAlign w:val="center"/>
          </w:tcPr>
          <w:p w14:paraId="1C334C2B"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Cible (%)</w:t>
            </w:r>
          </w:p>
        </w:tc>
        <w:tc>
          <w:tcPr>
            <w:tcW w:w="709" w:type="dxa"/>
            <w:shd w:val="clear" w:color="auto" w:fill="83CAEB" w:themeFill="accent1" w:themeFillTint="66"/>
            <w:vAlign w:val="center"/>
          </w:tcPr>
          <w:p w14:paraId="76FDC73D"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08" w:type="dxa"/>
            <w:shd w:val="clear" w:color="auto" w:fill="83CAEB" w:themeFill="accent1" w:themeFillTint="66"/>
            <w:vAlign w:val="center"/>
          </w:tcPr>
          <w:p w14:paraId="00D16327"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93" w:type="dxa"/>
            <w:shd w:val="clear" w:color="auto" w:fill="83CAEB" w:themeFill="accent1" w:themeFillTint="66"/>
            <w:vAlign w:val="center"/>
          </w:tcPr>
          <w:p w14:paraId="7BD58989"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w:t>
            </w:r>
          </w:p>
        </w:tc>
        <w:tc>
          <w:tcPr>
            <w:tcW w:w="1417" w:type="dxa"/>
            <w:shd w:val="clear" w:color="auto" w:fill="83CAEB" w:themeFill="accent1" w:themeFillTint="66"/>
            <w:vAlign w:val="center"/>
          </w:tcPr>
          <w:p w14:paraId="4A0A39B7"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1F6203" w:rsidRPr="00F075F9" w14:paraId="66716E61" w14:textId="77777777" w:rsidTr="002914FE">
        <w:trPr>
          <w:trHeight w:val="1434"/>
        </w:trPr>
        <w:tc>
          <w:tcPr>
            <w:tcW w:w="1897" w:type="dxa"/>
            <w:shd w:val="clear" w:color="auto" w:fill="E9E9E9"/>
            <w:vAlign w:val="center"/>
          </w:tcPr>
          <w:p w14:paraId="2A902F90" w14:textId="77777777" w:rsidR="001F6203" w:rsidRPr="00F075F9" w:rsidRDefault="001F6203" w:rsidP="002914FE">
            <w:pPr>
              <w:pStyle w:val="Paragraphedeliste"/>
              <w:ind w:left="0"/>
            </w:pPr>
            <w:r w:rsidRPr="00F075F9">
              <w:rPr>
                <w:rFonts w:cs="Calibri"/>
                <w:b/>
                <w:bCs/>
                <w:color w:val="000000"/>
              </w:rPr>
              <w:t>HPM 4 autre-1 Pourcentage d'établissements de santé disposant de médicaments traceurs pour la tuberculose le jour de la visite ou le jour de l'établissement du rapport</w:t>
            </w:r>
          </w:p>
        </w:tc>
        <w:tc>
          <w:tcPr>
            <w:tcW w:w="939" w:type="dxa"/>
            <w:vAlign w:val="center"/>
          </w:tcPr>
          <w:p w14:paraId="787D7383" w14:textId="77777777" w:rsidR="001F6203" w:rsidRPr="00F075F9" w:rsidRDefault="001F6203" w:rsidP="002914FE">
            <w:pPr>
              <w:pStyle w:val="Paragraphedeliste"/>
              <w:ind w:left="0"/>
              <w:jc w:val="center"/>
            </w:pPr>
            <w:r w:rsidRPr="00F075F9">
              <w:t>54,0%</w:t>
            </w:r>
          </w:p>
        </w:tc>
        <w:tc>
          <w:tcPr>
            <w:tcW w:w="781" w:type="dxa"/>
            <w:tcBorders>
              <w:top w:val="single" w:sz="4" w:space="0" w:color="auto"/>
              <w:left w:val="single" w:sz="4" w:space="0" w:color="auto"/>
              <w:bottom w:val="single" w:sz="4" w:space="0" w:color="auto"/>
              <w:right w:val="single" w:sz="4" w:space="0" w:color="auto"/>
            </w:tcBorders>
            <w:vAlign w:val="center"/>
          </w:tcPr>
          <w:p w14:paraId="7FC55E60" w14:textId="77777777" w:rsidR="001F6203" w:rsidRPr="00F075F9" w:rsidRDefault="001F6203"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32,0%</w:t>
            </w:r>
          </w:p>
        </w:tc>
        <w:tc>
          <w:tcPr>
            <w:tcW w:w="865" w:type="dxa"/>
            <w:tcBorders>
              <w:top w:val="single" w:sz="4" w:space="0" w:color="auto"/>
              <w:left w:val="nil"/>
              <w:bottom w:val="single" w:sz="4" w:space="0" w:color="auto"/>
              <w:right w:val="single" w:sz="4" w:space="0" w:color="auto"/>
            </w:tcBorders>
            <w:vAlign w:val="center"/>
          </w:tcPr>
          <w:p w14:paraId="51C27765" w14:textId="77777777" w:rsidR="001F6203" w:rsidRPr="00F075F9" w:rsidRDefault="001F6203"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48,50%</w:t>
            </w:r>
          </w:p>
        </w:tc>
        <w:tc>
          <w:tcPr>
            <w:tcW w:w="764" w:type="dxa"/>
            <w:tcBorders>
              <w:top w:val="single" w:sz="4" w:space="0" w:color="auto"/>
              <w:left w:val="nil"/>
              <w:bottom w:val="single" w:sz="4" w:space="0" w:color="auto"/>
              <w:right w:val="single" w:sz="4" w:space="0" w:color="auto"/>
            </w:tcBorders>
            <w:shd w:val="clear" w:color="000000" w:fill="E7E6E6"/>
            <w:vAlign w:val="center"/>
          </w:tcPr>
          <w:p w14:paraId="2C6B3489"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NA</w:t>
            </w:r>
          </w:p>
        </w:tc>
        <w:tc>
          <w:tcPr>
            <w:tcW w:w="708" w:type="dxa"/>
            <w:tcBorders>
              <w:top w:val="single" w:sz="4" w:space="0" w:color="auto"/>
              <w:left w:val="nil"/>
              <w:bottom w:val="single" w:sz="4" w:space="0" w:color="auto"/>
              <w:right w:val="single" w:sz="4" w:space="0" w:color="auto"/>
            </w:tcBorders>
            <w:shd w:val="clear" w:color="000000" w:fill="E7E6E6"/>
            <w:vAlign w:val="center"/>
          </w:tcPr>
          <w:p w14:paraId="27CB3341"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NA</w:t>
            </w:r>
          </w:p>
        </w:tc>
        <w:tc>
          <w:tcPr>
            <w:tcW w:w="851" w:type="dxa"/>
            <w:tcBorders>
              <w:top w:val="single" w:sz="4" w:space="0" w:color="auto"/>
              <w:left w:val="nil"/>
              <w:bottom w:val="single" w:sz="4" w:space="0" w:color="auto"/>
              <w:right w:val="single" w:sz="4" w:space="0" w:color="auto"/>
            </w:tcBorders>
            <w:shd w:val="clear" w:color="000000" w:fill="E7E6E6"/>
            <w:vAlign w:val="center"/>
          </w:tcPr>
          <w:p w14:paraId="397A0307"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95,00%</w:t>
            </w:r>
          </w:p>
        </w:tc>
        <w:tc>
          <w:tcPr>
            <w:tcW w:w="709" w:type="dxa"/>
            <w:tcBorders>
              <w:top w:val="single" w:sz="4" w:space="0" w:color="auto"/>
              <w:left w:val="nil"/>
              <w:bottom w:val="single" w:sz="4" w:space="0" w:color="auto"/>
              <w:right w:val="single" w:sz="4" w:space="0" w:color="auto"/>
            </w:tcBorders>
            <w:vAlign w:val="center"/>
          </w:tcPr>
          <w:p w14:paraId="18D30926"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1128</w:t>
            </w:r>
          </w:p>
        </w:tc>
        <w:tc>
          <w:tcPr>
            <w:tcW w:w="708" w:type="dxa"/>
            <w:tcBorders>
              <w:top w:val="single" w:sz="4" w:space="0" w:color="auto"/>
              <w:left w:val="nil"/>
              <w:bottom w:val="single" w:sz="4" w:space="0" w:color="auto"/>
              <w:right w:val="single" w:sz="4" w:space="0" w:color="auto"/>
            </w:tcBorders>
            <w:vAlign w:val="center"/>
          </w:tcPr>
          <w:p w14:paraId="7312B5F7"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2326</w:t>
            </w:r>
          </w:p>
        </w:tc>
        <w:tc>
          <w:tcPr>
            <w:tcW w:w="993" w:type="dxa"/>
            <w:tcBorders>
              <w:top w:val="single" w:sz="4" w:space="0" w:color="auto"/>
              <w:left w:val="nil"/>
              <w:bottom w:val="single" w:sz="4" w:space="0" w:color="auto"/>
              <w:right w:val="single" w:sz="4" w:space="0" w:color="auto"/>
            </w:tcBorders>
            <w:vAlign w:val="center"/>
          </w:tcPr>
          <w:p w14:paraId="2FDBC9A8"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48,50%</w:t>
            </w:r>
          </w:p>
        </w:tc>
        <w:tc>
          <w:tcPr>
            <w:tcW w:w="1417" w:type="dxa"/>
            <w:tcBorders>
              <w:top w:val="single" w:sz="4" w:space="0" w:color="auto"/>
              <w:left w:val="single" w:sz="4" w:space="0" w:color="auto"/>
              <w:bottom w:val="single" w:sz="4" w:space="0" w:color="auto"/>
              <w:right w:val="single" w:sz="4" w:space="0" w:color="auto"/>
            </w:tcBorders>
            <w:shd w:val="clear" w:color="000000" w:fill="FFC000"/>
            <w:vAlign w:val="center"/>
          </w:tcPr>
          <w:p w14:paraId="1DD3EE80"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51,0%</w:t>
            </w:r>
          </w:p>
        </w:tc>
      </w:tr>
    </w:tbl>
    <w:p w14:paraId="28A45CD3" w14:textId="77777777" w:rsidR="001F6203" w:rsidRPr="00F075F9" w:rsidRDefault="001F6203" w:rsidP="001F6203">
      <w:pPr>
        <w:jc w:val="both"/>
      </w:pPr>
      <w:r w:rsidRPr="00F075F9">
        <w:t>Source des données : DHIS2/SNIS RDC</w:t>
      </w:r>
    </w:p>
    <w:p w14:paraId="4489DF79" w14:textId="77777777" w:rsidR="001F6203" w:rsidRPr="00F075F9" w:rsidRDefault="001F6203" w:rsidP="001F6203">
      <w:pPr>
        <w:jc w:val="both"/>
        <w:rPr>
          <w:rFonts w:ascii="Abadi" w:eastAsia="Aptos" w:hAnsi="Abadi" w:cs="Times New Roman"/>
          <w:color w:val="00B0F0"/>
          <w:sz w:val="22"/>
          <w:szCs w:val="22"/>
        </w:rPr>
      </w:pPr>
    </w:p>
    <w:p w14:paraId="784EF01B" w14:textId="77777777" w:rsidR="001F6203" w:rsidRPr="00F075F9" w:rsidRDefault="001F6203" w:rsidP="001F6203">
      <w:pPr>
        <w:jc w:val="both"/>
        <w:rPr>
          <w:b/>
          <w:bCs/>
        </w:rPr>
      </w:pPr>
      <w:r w:rsidRPr="00F075F9">
        <w:rPr>
          <w:b/>
          <w:bCs/>
        </w:rPr>
        <w:t>Commentaires du PR sur le HPM 4 autre - 1</w:t>
      </w:r>
    </w:p>
    <w:p w14:paraId="075E4322" w14:textId="56FD350A" w:rsidR="001F6203" w:rsidRPr="00F075F9" w:rsidRDefault="001F6203" w:rsidP="001F6203">
      <w:pPr>
        <w:jc w:val="both"/>
        <w:rPr>
          <w:lang w:val="fr-CD"/>
        </w:rPr>
      </w:pPr>
      <w:r w:rsidRPr="00F075F9">
        <w:rPr>
          <w:lang w:val="fr-CD"/>
        </w:rPr>
        <w:t xml:space="preserve">Au cours du premier semestre 2025 (S1 2025), le pourcentage d'établissements de santé disposant de médicaments traceurs pour la tuberculose s'est établi à 48,5%, bien en deçà de la cible de 95% fixée pour la période. </w:t>
      </w:r>
    </w:p>
    <w:p w14:paraId="464224A0" w14:textId="77777777" w:rsidR="001F6203" w:rsidRPr="00F075F9" w:rsidRDefault="001F6203" w:rsidP="001F6203">
      <w:pPr>
        <w:jc w:val="both"/>
        <w:rPr>
          <w:lang w:val="fr-CD"/>
        </w:rPr>
      </w:pPr>
      <w:r w:rsidRPr="00F075F9">
        <w:rPr>
          <w:lang w:val="fr-CD"/>
        </w:rPr>
        <w:lastRenderedPageBreak/>
        <w:t xml:space="preserve">La méthode de collecte repose sur les données de SIGL établissement de soins de santé DHIS2 du ministère de la Santé de la RDC, avec un taux de complétude de 99%. </w:t>
      </w:r>
    </w:p>
    <w:p w14:paraId="7283ED95" w14:textId="77777777" w:rsidR="001F6203" w:rsidRPr="00F075F9" w:rsidRDefault="001F6203" w:rsidP="001F6203">
      <w:pPr>
        <w:jc w:val="both"/>
        <w:rPr>
          <w:lang w:val="fr-CD"/>
        </w:rPr>
      </w:pPr>
      <w:r w:rsidRPr="00F075F9">
        <w:rPr>
          <w:lang w:val="fr-CD"/>
        </w:rPr>
        <w:t xml:space="preserve">L’indicateur est calculé sur la base des établissements de santé (CDT) de 26 provinces du pays ayant eu notifié au moins un cas de tuberculose dans les 6 derniers mois et disposant d’au moins un stock de quatre médicaments </w:t>
      </w:r>
      <w:proofErr w:type="spellStart"/>
      <w:r w:rsidRPr="00F075F9">
        <w:rPr>
          <w:lang w:val="fr-CD"/>
        </w:rPr>
        <w:t>anti-tuberculeux</w:t>
      </w:r>
      <w:proofErr w:type="spellEnd"/>
      <w:r w:rsidRPr="00F075F9">
        <w:rPr>
          <w:lang w:val="fr-CD"/>
        </w:rPr>
        <w:t xml:space="preserve"> (RHZE150/75/400/275 mg, RH</w:t>
      </w:r>
      <w:r w:rsidRPr="00F075F9">
        <w:t>150/75 mg</w:t>
      </w:r>
      <w:r w:rsidRPr="00F075F9">
        <w:rPr>
          <w:lang w:val="fr-CD"/>
        </w:rPr>
        <w:t>, RHZ75/50/150mg, RH</w:t>
      </w:r>
      <w:r w:rsidRPr="00F075F9">
        <w:t>75/50 mg</w:t>
      </w:r>
      <w:r w:rsidRPr="00F075F9">
        <w:rPr>
          <w:lang w:val="fr-CD"/>
        </w:rPr>
        <w:t>) au 30 juin 2025, date du rapport. Le dénominateur comprend l’ensemble des établissements où ces produits devraient être disponibles. Cette méthode assure une mesure précise de la disponibilité le jour du rapport.</w:t>
      </w:r>
    </w:p>
    <w:p w14:paraId="4AE8947A" w14:textId="53C7425C" w:rsidR="008B743F" w:rsidRPr="00F075F9" w:rsidRDefault="008B743F" w:rsidP="008B743F">
      <w:pPr>
        <w:jc w:val="both"/>
        <w:rPr>
          <w:lang w:val="fr-CD"/>
        </w:rPr>
      </w:pPr>
      <w:r w:rsidRPr="00F075F9">
        <w:rPr>
          <w:lang w:val="fr-CD"/>
        </w:rPr>
        <w:t>La performance calculée est de 51,0%. Comparé au résultat du T4 2024</w:t>
      </w:r>
      <w:r w:rsidR="00FD4529" w:rsidRPr="00F075F9">
        <w:rPr>
          <w:lang w:val="fr-CD"/>
        </w:rPr>
        <w:t xml:space="preserve"> </w:t>
      </w:r>
      <w:r w:rsidRPr="00F075F9">
        <w:rPr>
          <w:lang w:val="fr-CD"/>
        </w:rPr>
        <w:t>(54,0%), il est observé une régression en juin 2025 (48,5%).</w:t>
      </w:r>
      <w:r w:rsidR="00FD4529" w:rsidRPr="00F075F9">
        <w:rPr>
          <w:lang w:val="fr-CD"/>
        </w:rPr>
        <w:t xml:space="preserve"> M</w:t>
      </w:r>
      <w:r w:rsidR="00296AE8" w:rsidRPr="00F075F9">
        <w:rPr>
          <w:lang w:val="fr-CD"/>
        </w:rPr>
        <w:t>ême si nous avons</w:t>
      </w:r>
      <w:r w:rsidR="00FD4529" w:rsidRPr="00F075F9">
        <w:rPr>
          <w:lang w:val="fr-CD"/>
        </w:rPr>
        <w:t xml:space="preserve"> </w:t>
      </w:r>
      <w:r w:rsidR="00296AE8" w:rsidRPr="00F075F9">
        <w:rPr>
          <w:lang w:val="fr-CD"/>
        </w:rPr>
        <w:t xml:space="preserve">une </w:t>
      </w:r>
      <w:r w:rsidR="00FD4529" w:rsidRPr="00F075F9">
        <w:rPr>
          <w:lang w:val="fr-CD"/>
        </w:rPr>
        <w:t xml:space="preserve">régression globale </w:t>
      </w:r>
      <w:r w:rsidR="00296AE8" w:rsidRPr="00F075F9">
        <w:rPr>
          <w:lang w:val="fr-CD"/>
        </w:rPr>
        <w:t xml:space="preserve">sur le semestre, il est à noter </w:t>
      </w:r>
      <w:r w:rsidR="006072DB" w:rsidRPr="00F075F9">
        <w:rPr>
          <w:lang w:val="fr-CD"/>
        </w:rPr>
        <w:t xml:space="preserve">une augmentation de plus de 15% </w:t>
      </w:r>
      <w:r w:rsidR="0096532A" w:rsidRPr="00F075F9">
        <w:rPr>
          <w:lang w:val="fr-CD"/>
        </w:rPr>
        <w:t xml:space="preserve">de </w:t>
      </w:r>
      <w:r w:rsidR="00100AAB" w:rsidRPr="00F075F9">
        <w:rPr>
          <w:lang w:val="fr-CD"/>
        </w:rPr>
        <w:t>disponibilité</w:t>
      </w:r>
      <w:r w:rsidR="0096532A" w:rsidRPr="00F075F9">
        <w:rPr>
          <w:lang w:val="fr-CD"/>
        </w:rPr>
        <w:t xml:space="preserve"> du T1 au T2. Cela est</w:t>
      </w:r>
      <w:r w:rsidR="00EE7E37" w:rsidRPr="00F075F9">
        <w:rPr>
          <w:lang w:val="fr-CD"/>
        </w:rPr>
        <w:t xml:space="preserve"> expliqué par les difficultés de distribution </w:t>
      </w:r>
      <w:r w:rsidR="00100AAB" w:rsidRPr="00F075F9">
        <w:rPr>
          <w:lang w:val="fr-CD"/>
        </w:rPr>
        <w:t xml:space="preserve">des intrants au premier trimestre </w:t>
      </w:r>
      <w:r w:rsidR="001267B0" w:rsidRPr="00F075F9">
        <w:rPr>
          <w:lang w:val="fr-CD"/>
        </w:rPr>
        <w:t xml:space="preserve">par SANRU (période de transition) que PNUD a </w:t>
      </w:r>
      <w:r w:rsidR="00F80C65" w:rsidRPr="00F075F9">
        <w:rPr>
          <w:lang w:val="fr-CD"/>
        </w:rPr>
        <w:t>corrigées)</w:t>
      </w:r>
      <w:r w:rsidR="001267B0" w:rsidRPr="00F075F9">
        <w:rPr>
          <w:lang w:val="fr-CD"/>
        </w:rPr>
        <w:t xml:space="preserve"> à partir de T2 2025.</w:t>
      </w:r>
    </w:p>
    <w:p w14:paraId="4A3E56B4" w14:textId="77777777" w:rsidR="001F6203" w:rsidRPr="00F075F9" w:rsidRDefault="001F6203" w:rsidP="001F6203">
      <w:pPr>
        <w:jc w:val="both"/>
        <w:rPr>
          <w:lang w:val="fr-CD"/>
        </w:rPr>
      </w:pPr>
    </w:p>
    <w:p w14:paraId="54910EAE" w14:textId="77777777" w:rsidR="001F6203" w:rsidRPr="00F075F9" w:rsidRDefault="001F6203" w:rsidP="001F6203">
      <w:pPr>
        <w:jc w:val="both"/>
        <w:rPr>
          <w:lang w:val="fr-CD"/>
        </w:rPr>
      </w:pPr>
      <w:r w:rsidRPr="00F075F9">
        <w:rPr>
          <w:lang w:val="fr-CD"/>
        </w:rPr>
        <w:t xml:space="preserve">L'analyse des résultats révèle des disparités importantes entre les provinces. Les provinces d'Ituri, du </w:t>
      </w:r>
      <w:r w:rsidRPr="00F075F9">
        <w:rPr>
          <w:b/>
          <w:bCs/>
          <w:lang w:val="fr-CD"/>
        </w:rPr>
        <w:t>Sud-Ubangi et du Bas-Uele atteignent des performances remarquables avec respectivement 100%, 100% et 95%</w:t>
      </w:r>
      <w:r w:rsidRPr="00F075F9">
        <w:rPr>
          <w:lang w:val="fr-CD"/>
        </w:rPr>
        <w:t xml:space="preserve"> de structures disposant des médicaments traceurs. A l'inverse, </w:t>
      </w:r>
      <w:r w:rsidRPr="00F075F9">
        <w:rPr>
          <w:b/>
          <w:bCs/>
          <w:lang w:val="fr-CD"/>
        </w:rPr>
        <w:t>le Haut-Katanga</w:t>
      </w:r>
      <w:r w:rsidRPr="00F075F9">
        <w:rPr>
          <w:lang w:val="fr-CD"/>
        </w:rPr>
        <w:t xml:space="preserve"> affiche la plus faible performance, avec seulement 7% des structures disposant des médicaments, suivi </w:t>
      </w:r>
      <w:r w:rsidRPr="00F075F9">
        <w:rPr>
          <w:b/>
          <w:bCs/>
          <w:lang w:val="fr-CD"/>
        </w:rPr>
        <w:t>de Lualaba (23%), Kinshasa (28%), et Sankuru (30%).</w:t>
      </w:r>
      <w:r w:rsidRPr="00F075F9">
        <w:rPr>
          <w:lang w:val="fr-CD"/>
        </w:rPr>
        <w:t xml:space="preserve"> </w:t>
      </w:r>
    </w:p>
    <w:p w14:paraId="5BED1A80" w14:textId="77777777" w:rsidR="001F6203" w:rsidRPr="00F075F9" w:rsidRDefault="001F6203" w:rsidP="001F6203">
      <w:pPr>
        <w:jc w:val="both"/>
        <w:rPr>
          <w:lang w:val="fr-CD"/>
        </w:rPr>
      </w:pPr>
      <w:r w:rsidRPr="00F075F9">
        <w:rPr>
          <w:lang w:val="fr-CD"/>
        </w:rPr>
        <w:t>Plusieurs facteurs expliquent ces résultats. Les succès observés dans certaines provinces, comme le Nord-Ubangi, incluent l’accompagnement technique renforcé pour l’encodage SIGL dans DHIS2, un suivi rigoureux sur le terrain et des distributions ciblées d’urgence.</w:t>
      </w:r>
    </w:p>
    <w:p w14:paraId="1D35CFFE" w14:textId="77777777" w:rsidR="005344A6" w:rsidRPr="00F075F9" w:rsidRDefault="001F6203" w:rsidP="001F6203">
      <w:pPr>
        <w:jc w:val="both"/>
        <w:rPr>
          <w:lang w:val="fr-CD"/>
        </w:rPr>
      </w:pPr>
      <w:r w:rsidRPr="00F075F9">
        <w:rPr>
          <w:lang w:val="fr-CD"/>
        </w:rPr>
        <w:t>Cependant, des défis majeurs ont entravé l'atteinte de la cible nationale. La faible disponibilité des médicaments antituberculeux au niveau national, due à des problèmes d'approvisionnement internationaux et aux retards de livraison, a été un facteur déterminant. La suspension des activités de l'USAID dans certaines provinces, perturbant la distribution des médicaments au dernier kilomètre, a également eu un impact significatif</w:t>
      </w:r>
      <w:r w:rsidR="002F018E" w:rsidRPr="00F075F9">
        <w:rPr>
          <w:lang w:val="fr-CD"/>
        </w:rPr>
        <w:t xml:space="preserve"> notamment au Katanga, province </w:t>
      </w:r>
      <w:r w:rsidR="00B61A86" w:rsidRPr="00F075F9">
        <w:rPr>
          <w:lang w:val="fr-CD"/>
        </w:rPr>
        <w:t>couverte par PEPFAR dans le cadre de la rationalisation</w:t>
      </w:r>
      <w:r w:rsidRPr="00F075F9">
        <w:rPr>
          <w:lang w:val="fr-CD"/>
        </w:rPr>
        <w:t>.</w:t>
      </w:r>
    </w:p>
    <w:p w14:paraId="42CDD1E8" w14:textId="77777777" w:rsidR="00A45991" w:rsidRPr="00F075F9" w:rsidRDefault="001F6203" w:rsidP="001F6203">
      <w:pPr>
        <w:jc w:val="both"/>
        <w:rPr>
          <w:lang w:val="fr-CD"/>
        </w:rPr>
      </w:pPr>
      <w:r w:rsidRPr="00F075F9">
        <w:rPr>
          <w:lang w:val="fr-CD"/>
        </w:rPr>
        <w:t xml:space="preserve"> De plus, l</w:t>
      </w:r>
      <w:r w:rsidR="00E42221" w:rsidRPr="00F075F9">
        <w:rPr>
          <w:lang w:val="fr-CD"/>
        </w:rPr>
        <w:t>’</w:t>
      </w:r>
      <w:proofErr w:type="spellStart"/>
      <w:r w:rsidR="00E42221" w:rsidRPr="00F075F9">
        <w:rPr>
          <w:lang w:val="fr-CD"/>
        </w:rPr>
        <w:t>inexhaustivité</w:t>
      </w:r>
      <w:proofErr w:type="spellEnd"/>
      <w:r w:rsidR="00E42221" w:rsidRPr="00F075F9">
        <w:rPr>
          <w:lang w:val="fr-CD"/>
        </w:rPr>
        <w:t xml:space="preserve"> des données </w:t>
      </w:r>
      <w:r w:rsidR="00F060C3" w:rsidRPr="00F075F9">
        <w:rPr>
          <w:lang w:val="fr-CD"/>
        </w:rPr>
        <w:t xml:space="preserve">dans DHIS2 </w:t>
      </w:r>
      <w:r w:rsidR="00CA0AB2" w:rsidRPr="00F075F9">
        <w:rPr>
          <w:lang w:val="fr-CD"/>
        </w:rPr>
        <w:t>par l</w:t>
      </w:r>
      <w:r w:rsidRPr="00F075F9">
        <w:rPr>
          <w:lang w:val="fr-CD"/>
        </w:rPr>
        <w:t xml:space="preserve">e sous-rapportage </w:t>
      </w:r>
      <w:r w:rsidR="00F060C3" w:rsidRPr="00F075F9">
        <w:rPr>
          <w:lang w:val="fr-CD"/>
        </w:rPr>
        <w:t xml:space="preserve">des données SIGL </w:t>
      </w:r>
      <w:r w:rsidRPr="00F075F9">
        <w:rPr>
          <w:lang w:val="fr-CD"/>
        </w:rPr>
        <w:t>dans certaines zones de santé, a pu affecter les résultats.</w:t>
      </w:r>
      <w:r w:rsidR="00A45991" w:rsidRPr="00F075F9">
        <w:rPr>
          <w:lang w:val="fr-CD"/>
        </w:rPr>
        <w:t xml:space="preserve"> </w:t>
      </w:r>
      <w:r w:rsidR="00595526" w:rsidRPr="00F075F9">
        <w:rPr>
          <w:lang w:val="fr-CD"/>
        </w:rPr>
        <w:t xml:space="preserve">En effet, les </w:t>
      </w:r>
      <w:r w:rsidR="000A14F2" w:rsidRPr="00F075F9">
        <w:rPr>
          <w:lang w:val="fr-CD"/>
        </w:rPr>
        <w:t>chargés des données</w:t>
      </w:r>
      <w:r w:rsidR="00DB33D7" w:rsidRPr="00F075F9">
        <w:rPr>
          <w:lang w:val="fr-CD"/>
        </w:rPr>
        <w:t xml:space="preserve"> des BCZS </w:t>
      </w:r>
      <w:r w:rsidR="00F205DC" w:rsidRPr="00F075F9">
        <w:rPr>
          <w:lang w:val="fr-CD"/>
        </w:rPr>
        <w:t xml:space="preserve">n’encodent pas </w:t>
      </w:r>
      <w:r w:rsidR="00C7418E" w:rsidRPr="00F075F9">
        <w:rPr>
          <w:lang w:val="fr-CD"/>
        </w:rPr>
        <w:t>les données de toutes les vari</w:t>
      </w:r>
      <w:r w:rsidR="00A077F4" w:rsidRPr="00F075F9">
        <w:rPr>
          <w:lang w:val="fr-CD"/>
        </w:rPr>
        <w:t>a</w:t>
      </w:r>
      <w:r w:rsidR="00C7418E" w:rsidRPr="00F075F9">
        <w:rPr>
          <w:lang w:val="fr-CD"/>
        </w:rPr>
        <w:t xml:space="preserve">bles </w:t>
      </w:r>
      <w:r w:rsidR="00A077F4" w:rsidRPr="00F075F9">
        <w:rPr>
          <w:lang w:val="fr-CD"/>
        </w:rPr>
        <w:t>dans DHIS2 ce pose un problème d’ex</w:t>
      </w:r>
      <w:r w:rsidR="00D177AA" w:rsidRPr="00F075F9">
        <w:rPr>
          <w:lang w:val="fr-CD"/>
        </w:rPr>
        <w:t>haustivité des données malgré un bonne complétude des rapports soumis</w:t>
      </w:r>
      <w:r w:rsidR="00A45991" w:rsidRPr="00F075F9">
        <w:rPr>
          <w:lang w:val="fr-CD"/>
        </w:rPr>
        <w:t xml:space="preserve">. </w:t>
      </w:r>
    </w:p>
    <w:p w14:paraId="59F702DB" w14:textId="25E44F95" w:rsidR="001F6203" w:rsidRPr="00F075F9" w:rsidRDefault="001F6203" w:rsidP="001F6203">
      <w:pPr>
        <w:jc w:val="both"/>
        <w:rPr>
          <w:lang w:val="fr-CD"/>
        </w:rPr>
      </w:pPr>
      <w:r w:rsidRPr="00F075F9">
        <w:rPr>
          <w:lang w:val="fr-CD"/>
        </w:rPr>
        <w:lastRenderedPageBreak/>
        <w:t xml:space="preserve">Pour améliorer la situation, plusieurs actions sont prévues ou en cours. Le projet prévoit de financer les frais de transport des médicaments du Bureau central de Zone de Santé aux établissements de santé, assurant ainsi leur disponibilité. Des distributions de médicaments sont réalisées en juillet 2025 dans plusieurs provinces, notamment Kinshasa, Kongo Central, </w:t>
      </w:r>
      <w:proofErr w:type="spellStart"/>
      <w:r w:rsidRPr="00F075F9">
        <w:rPr>
          <w:lang w:val="fr-CD"/>
        </w:rPr>
        <w:t>Kasai</w:t>
      </w:r>
      <w:proofErr w:type="spellEnd"/>
      <w:r w:rsidRPr="00F075F9">
        <w:rPr>
          <w:lang w:val="fr-CD"/>
        </w:rPr>
        <w:t xml:space="preserve"> Oriental et Haut-Katanga. Un suivi régulier de la disponibilité des médicaments dans les établissements de santé sera effectué par les superviseurs des Sous récipiendaires. Enfin, un accompagnement continu des zones de santé pour l'encodage des données dans DHIS2 sera réalisé.</w:t>
      </w:r>
    </w:p>
    <w:p w14:paraId="74358251" w14:textId="77777777" w:rsidR="001F6203" w:rsidRPr="00F075F9" w:rsidRDefault="001F6203" w:rsidP="001F6203">
      <w:pPr>
        <w:jc w:val="both"/>
        <w:rPr>
          <w:lang w:val="fr-CD"/>
        </w:rPr>
      </w:pPr>
      <w:r w:rsidRPr="00F075F9">
        <w:rPr>
          <w:lang w:val="fr-CD"/>
        </w:rPr>
        <w:t xml:space="preserve">Pour la période suivante, une amélioration progressive est attendue, grâce à l'arrivée des médicaments commandés et aux actions correctives mises en place. </w:t>
      </w:r>
    </w:p>
    <w:p w14:paraId="43D559CF" w14:textId="77777777" w:rsidR="001F6203" w:rsidRPr="00F075F9" w:rsidRDefault="001F6203" w:rsidP="001F6203">
      <w:pPr>
        <w:jc w:val="both"/>
        <w:rPr>
          <w:lang w:val="fr-CD"/>
        </w:rPr>
      </w:pPr>
      <w:r w:rsidRPr="00F075F9">
        <w:rPr>
          <w:lang w:val="fr-CD"/>
        </w:rPr>
        <w:t xml:space="preserve">En ce qui concerne la qualité des données, malgré une complétude jugée satisfaisante, une attention particulière sera portée à l'exhaustivité des données au niveau des zones de santé afin d'améliorer la précision des résultats. De visite de suivi dans les établissements des soins par les </w:t>
      </w:r>
      <w:proofErr w:type="spellStart"/>
      <w:r w:rsidRPr="00F075F9">
        <w:rPr>
          <w:lang w:val="fr-CD"/>
        </w:rPr>
        <w:t>SRs</w:t>
      </w:r>
      <w:proofErr w:type="spellEnd"/>
      <w:r w:rsidRPr="00F075F9">
        <w:rPr>
          <w:lang w:val="fr-CD"/>
        </w:rPr>
        <w:t xml:space="preserve"> seront effectuées pour améliorer la qualité du rapportage.</w:t>
      </w:r>
    </w:p>
    <w:p w14:paraId="19D75580" w14:textId="77777777" w:rsidR="001F6203" w:rsidRPr="00F075F9" w:rsidRDefault="001F6203" w:rsidP="001F6203">
      <w:pPr>
        <w:jc w:val="both"/>
      </w:pPr>
    </w:p>
    <w:p w14:paraId="74F7C645" w14:textId="77777777" w:rsidR="001F6203" w:rsidRPr="00F075F9" w:rsidRDefault="001F6203" w:rsidP="001F6203">
      <w:pPr>
        <w:jc w:val="both"/>
      </w:pPr>
    </w:p>
    <w:tbl>
      <w:tblPr>
        <w:tblStyle w:val="Grilledutableau"/>
        <w:tblW w:w="10632" w:type="dxa"/>
        <w:tblInd w:w="-289" w:type="dxa"/>
        <w:tblLayout w:type="fixed"/>
        <w:tblLook w:val="04A0" w:firstRow="1" w:lastRow="0" w:firstColumn="1" w:lastColumn="0" w:noHBand="0" w:noVBand="1"/>
      </w:tblPr>
      <w:tblGrid>
        <w:gridCol w:w="1897"/>
        <w:gridCol w:w="939"/>
        <w:gridCol w:w="850"/>
        <w:gridCol w:w="993"/>
        <w:gridCol w:w="669"/>
        <w:gridCol w:w="606"/>
        <w:gridCol w:w="851"/>
        <w:gridCol w:w="709"/>
        <w:gridCol w:w="708"/>
        <w:gridCol w:w="993"/>
        <w:gridCol w:w="1417"/>
      </w:tblGrid>
      <w:tr w:rsidR="001F6203" w:rsidRPr="00F075F9" w14:paraId="65EC9057" w14:textId="77777777" w:rsidTr="002914FE">
        <w:trPr>
          <w:trHeight w:val="1022"/>
        </w:trPr>
        <w:tc>
          <w:tcPr>
            <w:tcW w:w="1897" w:type="dxa"/>
            <w:vMerge w:val="restart"/>
          </w:tcPr>
          <w:p w14:paraId="607E3CCD" w14:textId="77777777" w:rsidR="001F6203" w:rsidRPr="00F075F9" w:rsidRDefault="001F6203" w:rsidP="002914FE">
            <w:pPr>
              <w:pStyle w:val="Paragraphedeliste"/>
              <w:ind w:left="0"/>
              <w:jc w:val="both"/>
            </w:pPr>
            <w:bookmarkStart w:id="8" w:name="_Hlk205813064"/>
            <w:bookmarkStart w:id="9" w:name="_Hlk205738489"/>
            <w:r w:rsidRPr="00F075F9">
              <w:rPr>
                <w:rFonts w:asciiTheme="majorHAnsi" w:eastAsia="Times New Roman" w:hAnsiTheme="majorHAnsi" w:cs="Segoe UI"/>
                <w:b/>
                <w:bCs/>
                <w:color w:val="000000"/>
                <w:kern w:val="24"/>
                <w:sz w:val="20"/>
                <w:szCs w:val="20"/>
                <w:lang w:eastAsia="fr-CD"/>
                <w14:ligatures w14:val="none"/>
              </w:rPr>
              <w:t>Indicateur</w:t>
            </w:r>
          </w:p>
        </w:tc>
        <w:tc>
          <w:tcPr>
            <w:tcW w:w="939" w:type="dxa"/>
            <w:vMerge w:val="restart"/>
            <w:shd w:val="clear" w:color="auto" w:fill="BEBEBE"/>
          </w:tcPr>
          <w:p w14:paraId="65EF6880" w14:textId="77777777" w:rsidR="001F6203" w:rsidRPr="00F075F9" w:rsidRDefault="001F6203"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850" w:type="dxa"/>
            <w:vMerge w:val="restart"/>
            <w:shd w:val="clear" w:color="auto" w:fill="BEBEBE"/>
          </w:tcPr>
          <w:p w14:paraId="2C88E326"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T1 2025</w:t>
            </w:r>
          </w:p>
        </w:tc>
        <w:tc>
          <w:tcPr>
            <w:tcW w:w="993" w:type="dxa"/>
            <w:vMerge w:val="restart"/>
            <w:shd w:val="clear" w:color="auto" w:fill="BEBEBE"/>
          </w:tcPr>
          <w:p w14:paraId="1A7EEAD2"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T2 2025</w:t>
            </w:r>
          </w:p>
        </w:tc>
        <w:tc>
          <w:tcPr>
            <w:tcW w:w="2126" w:type="dxa"/>
            <w:gridSpan w:val="3"/>
            <w:shd w:val="clear" w:color="auto" w:fill="BEBEBE"/>
            <w:vAlign w:val="center"/>
          </w:tcPr>
          <w:p w14:paraId="12032EBE"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827" w:type="dxa"/>
            <w:gridSpan w:val="4"/>
            <w:shd w:val="clear" w:color="auto" w:fill="83CAEB" w:themeFill="accent1" w:themeFillTint="66"/>
            <w:vAlign w:val="center"/>
          </w:tcPr>
          <w:p w14:paraId="1F24E832"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Résultats S1 2025</w:t>
            </w:r>
          </w:p>
        </w:tc>
      </w:tr>
      <w:tr w:rsidR="001F6203" w:rsidRPr="00F075F9" w14:paraId="125CB770" w14:textId="77777777" w:rsidTr="002914FE">
        <w:trPr>
          <w:trHeight w:val="300"/>
        </w:trPr>
        <w:tc>
          <w:tcPr>
            <w:tcW w:w="1897" w:type="dxa"/>
            <w:vMerge/>
          </w:tcPr>
          <w:p w14:paraId="3F6A5311" w14:textId="77777777" w:rsidR="001F6203" w:rsidRPr="00F075F9" w:rsidRDefault="001F6203" w:rsidP="002914FE">
            <w:pPr>
              <w:pStyle w:val="Paragraphedeliste"/>
              <w:ind w:left="0"/>
              <w:jc w:val="both"/>
            </w:pPr>
          </w:p>
        </w:tc>
        <w:tc>
          <w:tcPr>
            <w:tcW w:w="939" w:type="dxa"/>
            <w:vMerge/>
          </w:tcPr>
          <w:p w14:paraId="6D017782" w14:textId="77777777" w:rsidR="001F6203" w:rsidRPr="00F075F9" w:rsidRDefault="001F6203" w:rsidP="002914FE">
            <w:pPr>
              <w:pStyle w:val="Paragraphedeliste"/>
              <w:ind w:left="0"/>
              <w:jc w:val="center"/>
            </w:pPr>
          </w:p>
        </w:tc>
        <w:tc>
          <w:tcPr>
            <w:tcW w:w="850" w:type="dxa"/>
            <w:vMerge/>
          </w:tcPr>
          <w:p w14:paraId="6C52A93D"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993" w:type="dxa"/>
            <w:vMerge/>
          </w:tcPr>
          <w:p w14:paraId="3A338278"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669" w:type="dxa"/>
            <w:shd w:val="clear" w:color="auto" w:fill="BEBEBE"/>
            <w:vAlign w:val="center"/>
          </w:tcPr>
          <w:p w14:paraId="6521126E"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606" w:type="dxa"/>
            <w:shd w:val="clear" w:color="auto" w:fill="BEBEBE"/>
            <w:vAlign w:val="center"/>
          </w:tcPr>
          <w:p w14:paraId="40CCE1D3"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51" w:type="dxa"/>
            <w:shd w:val="clear" w:color="auto" w:fill="BEBEBE"/>
            <w:vAlign w:val="center"/>
          </w:tcPr>
          <w:p w14:paraId="0F0029A8"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Cible (%)</w:t>
            </w:r>
          </w:p>
        </w:tc>
        <w:tc>
          <w:tcPr>
            <w:tcW w:w="709" w:type="dxa"/>
            <w:shd w:val="clear" w:color="auto" w:fill="83CAEB" w:themeFill="accent1" w:themeFillTint="66"/>
            <w:vAlign w:val="center"/>
          </w:tcPr>
          <w:p w14:paraId="144AC8E2"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08" w:type="dxa"/>
            <w:shd w:val="clear" w:color="auto" w:fill="83CAEB" w:themeFill="accent1" w:themeFillTint="66"/>
            <w:vAlign w:val="center"/>
          </w:tcPr>
          <w:p w14:paraId="14093815"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93" w:type="dxa"/>
            <w:shd w:val="clear" w:color="auto" w:fill="83CAEB" w:themeFill="accent1" w:themeFillTint="66"/>
            <w:vAlign w:val="center"/>
          </w:tcPr>
          <w:p w14:paraId="40B93706"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w:t>
            </w:r>
          </w:p>
        </w:tc>
        <w:tc>
          <w:tcPr>
            <w:tcW w:w="1417" w:type="dxa"/>
            <w:shd w:val="clear" w:color="auto" w:fill="83CAEB" w:themeFill="accent1" w:themeFillTint="66"/>
            <w:vAlign w:val="center"/>
          </w:tcPr>
          <w:p w14:paraId="1C80C044"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1F6203" w:rsidRPr="00F075F9" w14:paraId="73EE06B8" w14:textId="77777777" w:rsidTr="002914FE">
        <w:trPr>
          <w:trHeight w:val="1434"/>
        </w:trPr>
        <w:tc>
          <w:tcPr>
            <w:tcW w:w="1897" w:type="dxa"/>
            <w:shd w:val="clear" w:color="auto" w:fill="E9E9E9"/>
            <w:vAlign w:val="center"/>
          </w:tcPr>
          <w:p w14:paraId="09F60926" w14:textId="77777777" w:rsidR="001F6203" w:rsidRPr="00F075F9" w:rsidRDefault="001F6203" w:rsidP="002914FE">
            <w:pPr>
              <w:pStyle w:val="Paragraphedeliste"/>
              <w:ind w:left="0"/>
            </w:pPr>
            <w:r w:rsidRPr="00F075F9">
              <w:rPr>
                <w:rFonts w:ascii="Aptos" w:eastAsia="Aptos" w:hAnsi="Aptos" w:cs="Calibri"/>
                <w:b/>
                <w:bCs/>
                <w:color w:val="000000"/>
              </w:rPr>
              <w:t>HPM 5 autre-2 Pourcentage d'établissements de santé disposant de médicaments traceurs pour le VIH le jour de la visite ou le jour de l'établissement du rapport</w:t>
            </w:r>
            <w:r w:rsidRPr="00F075F9">
              <w:t xml:space="preserve"> </w:t>
            </w:r>
          </w:p>
        </w:tc>
        <w:tc>
          <w:tcPr>
            <w:tcW w:w="939" w:type="dxa"/>
            <w:tcBorders>
              <w:top w:val="single" w:sz="4" w:space="0" w:color="auto"/>
              <w:left w:val="single" w:sz="4" w:space="0" w:color="auto"/>
              <w:bottom w:val="single" w:sz="4" w:space="0" w:color="auto"/>
              <w:right w:val="single" w:sz="4" w:space="0" w:color="auto"/>
            </w:tcBorders>
            <w:vAlign w:val="center"/>
          </w:tcPr>
          <w:p w14:paraId="3EC9B8E4" w14:textId="77777777" w:rsidR="001F6203" w:rsidRPr="00F075F9" w:rsidRDefault="001F6203" w:rsidP="002914FE">
            <w:pPr>
              <w:pStyle w:val="Paragraphedeliste"/>
              <w:ind w:left="0"/>
              <w:jc w:val="center"/>
            </w:pPr>
            <w:r w:rsidRPr="00F075F9">
              <w:rPr>
                <w:rFonts w:ascii="Aptos Display" w:hAnsi="Aptos Display" w:cs="Calibri"/>
                <w:color w:val="000000"/>
                <w:sz w:val="20"/>
                <w:szCs w:val="20"/>
              </w:rPr>
              <w:t>43,0%</w:t>
            </w:r>
          </w:p>
        </w:tc>
        <w:tc>
          <w:tcPr>
            <w:tcW w:w="850" w:type="dxa"/>
            <w:tcBorders>
              <w:top w:val="single" w:sz="4" w:space="0" w:color="auto"/>
              <w:left w:val="nil"/>
              <w:bottom w:val="single" w:sz="4" w:space="0" w:color="auto"/>
              <w:right w:val="single" w:sz="4" w:space="0" w:color="auto"/>
            </w:tcBorders>
            <w:vAlign w:val="center"/>
          </w:tcPr>
          <w:p w14:paraId="5BC6E49C" w14:textId="77777777" w:rsidR="001F6203" w:rsidRPr="00F075F9" w:rsidRDefault="001F6203"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34,0%</w:t>
            </w:r>
          </w:p>
        </w:tc>
        <w:tc>
          <w:tcPr>
            <w:tcW w:w="993" w:type="dxa"/>
            <w:tcBorders>
              <w:top w:val="single" w:sz="4" w:space="0" w:color="auto"/>
              <w:left w:val="nil"/>
              <w:bottom w:val="single" w:sz="4" w:space="0" w:color="auto"/>
              <w:right w:val="single" w:sz="4" w:space="0" w:color="auto"/>
            </w:tcBorders>
            <w:vAlign w:val="center"/>
          </w:tcPr>
          <w:p w14:paraId="783D1015" w14:textId="77777777" w:rsidR="001F6203" w:rsidRPr="00F075F9" w:rsidRDefault="001F6203"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 50,45%</w:t>
            </w:r>
          </w:p>
        </w:tc>
        <w:tc>
          <w:tcPr>
            <w:tcW w:w="669" w:type="dxa"/>
            <w:tcBorders>
              <w:top w:val="single" w:sz="4" w:space="0" w:color="auto"/>
              <w:left w:val="nil"/>
              <w:bottom w:val="single" w:sz="4" w:space="0" w:color="auto"/>
              <w:right w:val="single" w:sz="4" w:space="0" w:color="auto"/>
            </w:tcBorders>
            <w:shd w:val="clear" w:color="000000" w:fill="E7E6E6"/>
            <w:vAlign w:val="center"/>
          </w:tcPr>
          <w:p w14:paraId="599EE68B"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NA</w:t>
            </w:r>
          </w:p>
        </w:tc>
        <w:tc>
          <w:tcPr>
            <w:tcW w:w="606" w:type="dxa"/>
            <w:tcBorders>
              <w:top w:val="single" w:sz="4" w:space="0" w:color="auto"/>
              <w:left w:val="nil"/>
              <w:bottom w:val="single" w:sz="4" w:space="0" w:color="auto"/>
              <w:right w:val="single" w:sz="4" w:space="0" w:color="auto"/>
            </w:tcBorders>
            <w:shd w:val="clear" w:color="000000" w:fill="E7E6E6"/>
            <w:vAlign w:val="center"/>
          </w:tcPr>
          <w:p w14:paraId="3FFF5882"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NA</w:t>
            </w:r>
          </w:p>
        </w:tc>
        <w:tc>
          <w:tcPr>
            <w:tcW w:w="851" w:type="dxa"/>
            <w:tcBorders>
              <w:top w:val="single" w:sz="4" w:space="0" w:color="auto"/>
              <w:left w:val="nil"/>
              <w:bottom w:val="single" w:sz="4" w:space="0" w:color="auto"/>
              <w:right w:val="single" w:sz="4" w:space="0" w:color="auto"/>
            </w:tcBorders>
            <w:shd w:val="clear" w:color="000000" w:fill="E7E6E6"/>
            <w:vAlign w:val="center"/>
          </w:tcPr>
          <w:p w14:paraId="41F3504A"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95,00%</w:t>
            </w:r>
          </w:p>
        </w:tc>
        <w:tc>
          <w:tcPr>
            <w:tcW w:w="709" w:type="dxa"/>
            <w:tcBorders>
              <w:top w:val="single" w:sz="4" w:space="0" w:color="auto"/>
              <w:left w:val="nil"/>
              <w:bottom w:val="single" w:sz="4" w:space="0" w:color="auto"/>
              <w:right w:val="single" w:sz="4" w:space="0" w:color="auto"/>
            </w:tcBorders>
            <w:vAlign w:val="center"/>
          </w:tcPr>
          <w:p w14:paraId="2E5BF14A"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1844</w:t>
            </w:r>
          </w:p>
        </w:tc>
        <w:tc>
          <w:tcPr>
            <w:tcW w:w="708" w:type="dxa"/>
            <w:tcBorders>
              <w:top w:val="single" w:sz="4" w:space="0" w:color="auto"/>
              <w:left w:val="nil"/>
              <w:bottom w:val="single" w:sz="4" w:space="0" w:color="auto"/>
              <w:right w:val="single" w:sz="4" w:space="0" w:color="auto"/>
            </w:tcBorders>
            <w:vAlign w:val="center"/>
          </w:tcPr>
          <w:p w14:paraId="18446586"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3655</w:t>
            </w:r>
          </w:p>
        </w:tc>
        <w:tc>
          <w:tcPr>
            <w:tcW w:w="993" w:type="dxa"/>
            <w:tcBorders>
              <w:top w:val="single" w:sz="4" w:space="0" w:color="auto"/>
              <w:left w:val="nil"/>
              <w:bottom w:val="single" w:sz="4" w:space="0" w:color="auto"/>
              <w:right w:val="single" w:sz="4" w:space="0" w:color="auto"/>
            </w:tcBorders>
            <w:vAlign w:val="center"/>
          </w:tcPr>
          <w:p w14:paraId="12F77DA7"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50,45%</w:t>
            </w:r>
          </w:p>
        </w:tc>
        <w:tc>
          <w:tcPr>
            <w:tcW w:w="1417" w:type="dxa"/>
            <w:tcBorders>
              <w:top w:val="single" w:sz="4" w:space="0" w:color="auto"/>
              <w:left w:val="single" w:sz="4" w:space="0" w:color="auto"/>
              <w:bottom w:val="single" w:sz="4" w:space="0" w:color="auto"/>
              <w:right w:val="single" w:sz="4" w:space="0" w:color="auto"/>
            </w:tcBorders>
            <w:shd w:val="clear" w:color="000000" w:fill="FFC000"/>
            <w:vAlign w:val="center"/>
          </w:tcPr>
          <w:p w14:paraId="3B9C3D72"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53,1%</w:t>
            </w:r>
          </w:p>
        </w:tc>
      </w:tr>
    </w:tbl>
    <w:bookmarkEnd w:id="8"/>
    <w:p w14:paraId="0D84A58D" w14:textId="77777777" w:rsidR="001F6203" w:rsidRPr="00F075F9" w:rsidRDefault="001F6203" w:rsidP="001F6203">
      <w:pPr>
        <w:jc w:val="both"/>
      </w:pPr>
      <w:r w:rsidRPr="00F075F9">
        <w:t>Source des données : DHIS2/ SNIS RDC</w:t>
      </w:r>
    </w:p>
    <w:p w14:paraId="34CFCA7F" w14:textId="77777777" w:rsidR="001F6203" w:rsidRPr="00F075F9" w:rsidRDefault="001F6203" w:rsidP="001F6203">
      <w:pPr>
        <w:jc w:val="both"/>
        <w:rPr>
          <w:b/>
          <w:bCs/>
        </w:rPr>
      </w:pPr>
    </w:p>
    <w:p w14:paraId="22982D6D" w14:textId="77777777" w:rsidR="001F6203" w:rsidRPr="00F075F9" w:rsidRDefault="001F6203" w:rsidP="001F6203">
      <w:pPr>
        <w:jc w:val="both"/>
        <w:rPr>
          <w:b/>
          <w:bCs/>
        </w:rPr>
      </w:pPr>
      <w:bookmarkStart w:id="10" w:name="_Hlk193295155"/>
      <w:r w:rsidRPr="00F075F9">
        <w:rPr>
          <w:b/>
          <w:bCs/>
        </w:rPr>
        <w:t>Commentaires du PR sur le HPM 5 autre - 2</w:t>
      </w:r>
    </w:p>
    <w:p w14:paraId="4313666B" w14:textId="77777777" w:rsidR="001F6203" w:rsidRPr="00F075F9" w:rsidRDefault="001F6203" w:rsidP="001F6203">
      <w:pPr>
        <w:jc w:val="both"/>
      </w:pPr>
      <w:r w:rsidRPr="00F075F9">
        <w:t xml:space="preserve">Au premier semestre 2025, le pourcentage des établissements de santé disposant des médicaments traceurs pour le VIH s’élève à 50,45%, bien en deçà de la cible fixée à 95%. </w:t>
      </w:r>
      <w:r w:rsidRPr="00F075F9">
        <w:lastRenderedPageBreak/>
        <w:t xml:space="preserve">Cette performance, calculée à 53,1%, marque cependant une progression notable par rapport au premier trimestre 2025 où le résultat était de 34% et au quatrième trimestre 2024 à 43%. </w:t>
      </w:r>
    </w:p>
    <w:p w14:paraId="5A4CFD12" w14:textId="77777777" w:rsidR="001F6203" w:rsidRPr="00F075F9" w:rsidRDefault="001F6203" w:rsidP="001F6203">
      <w:pPr>
        <w:jc w:val="both"/>
      </w:pPr>
      <w:r w:rsidRPr="00F075F9">
        <w:t xml:space="preserve">Les données ont été collectées dans DHIS2 à une complétude de 98% en juin 2025. L’indicateur est calculé à partir du nombre d’établissements de santé ayant au moins un patient vivant avec le VIH sous traitement </w:t>
      </w:r>
      <w:proofErr w:type="spellStart"/>
      <w:r w:rsidRPr="00F075F9">
        <w:t>anti-rétroviral</w:t>
      </w:r>
      <w:proofErr w:type="spellEnd"/>
      <w:r w:rsidRPr="00F075F9">
        <w:t xml:space="preserve"> au cours des six derniers mois et disposant d’un stock positif (SDU &gt; 0) des médicaments ARV listés (TDF/3TC/DTG, ABC/3TC 120/60mg, DTG 10 mg) à la clôture de la date d’élaboration du rapport. </w:t>
      </w:r>
    </w:p>
    <w:p w14:paraId="420E560E" w14:textId="7707CF75" w:rsidR="00851D97" w:rsidRPr="00F075F9" w:rsidRDefault="008C387D" w:rsidP="00851D97">
      <w:pPr>
        <w:jc w:val="both"/>
        <w:rPr>
          <w:lang w:val="fr-CD"/>
        </w:rPr>
      </w:pPr>
      <w:r w:rsidRPr="00F075F9">
        <w:rPr>
          <w:lang w:val="fr-CD"/>
        </w:rPr>
        <w:t>Malgré une</w:t>
      </w:r>
      <w:r w:rsidR="00A51571" w:rsidRPr="00F075F9">
        <w:rPr>
          <w:lang w:val="fr-CD"/>
        </w:rPr>
        <w:t xml:space="preserve"> </w:t>
      </w:r>
      <w:r w:rsidR="00851D97" w:rsidRPr="00F075F9">
        <w:rPr>
          <w:lang w:val="fr-CD"/>
        </w:rPr>
        <w:t xml:space="preserve">performance </w:t>
      </w:r>
      <w:r w:rsidR="00A51571" w:rsidRPr="00F075F9">
        <w:rPr>
          <w:lang w:val="fr-CD"/>
        </w:rPr>
        <w:t>faible sur la période, nous notons quand même un</w:t>
      </w:r>
      <w:r w:rsidR="00EA2B3B" w:rsidRPr="00F075F9">
        <w:rPr>
          <w:lang w:val="fr-CD"/>
        </w:rPr>
        <w:t xml:space="preserve"> accroissement de </w:t>
      </w:r>
      <w:r w:rsidR="009A67F1" w:rsidRPr="00F075F9">
        <w:rPr>
          <w:lang w:val="fr-CD"/>
        </w:rPr>
        <w:t xml:space="preserve">plus de 16% </w:t>
      </w:r>
      <w:r w:rsidR="003819F1" w:rsidRPr="00F075F9">
        <w:rPr>
          <w:lang w:val="fr-CD"/>
        </w:rPr>
        <w:t xml:space="preserve">de T1 et T2. </w:t>
      </w:r>
      <w:r w:rsidR="002C0478" w:rsidRPr="00F075F9">
        <w:rPr>
          <w:lang w:val="fr-CD"/>
        </w:rPr>
        <w:t>Cet</w:t>
      </w:r>
      <w:r w:rsidR="00222354" w:rsidRPr="00F075F9">
        <w:rPr>
          <w:lang w:val="fr-CD"/>
        </w:rPr>
        <w:t xml:space="preserve">te augmentation </w:t>
      </w:r>
      <w:r w:rsidR="002C0478" w:rsidRPr="00F075F9">
        <w:rPr>
          <w:lang w:val="fr-CD"/>
        </w:rPr>
        <w:t>témoigne des efforts d</w:t>
      </w:r>
      <w:r w:rsidR="00D02760" w:rsidRPr="00F075F9">
        <w:rPr>
          <w:lang w:val="fr-CD"/>
        </w:rPr>
        <w:t xml:space="preserve">’amélioration de la distribution des intrants </w:t>
      </w:r>
      <w:r w:rsidR="005F2986" w:rsidRPr="00F075F9">
        <w:rPr>
          <w:lang w:val="fr-CD"/>
        </w:rPr>
        <w:t>en T2 par PNUD par rapport à T1 (période de transition</w:t>
      </w:r>
      <w:r w:rsidR="00742AD9" w:rsidRPr="00F075F9">
        <w:rPr>
          <w:lang w:val="fr-CD"/>
        </w:rPr>
        <w:t>) par SANRU</w:t>
      </w:r>
      <w:r w:rsidR="00851D97" w:rsidRPr="00F075F9">
        <w:rPr>
          <w:lang w:val="fr-CD"/>
        </w:rPr>
        <w:t>.</w:t>
      </w:r>
    </w:p>
    <w:p w14:paraId="56959273" w14:textId="77777777" w:rsidR="001F6203" w:rsidRPr="00F075F9" w:rsidRDefault="001F6203" w:rsidP="001F6203">
      <w:pPr>
        <w:jc w:val="both"/>
      </w:pPr>
      <w:r w:rsidRPr="00F075F9">
        <w:t xml:space="preserve">L’analyse provinciale montre une très grande disparité. Certaines provinces ont atteint ou sont proches de la cible, telles que </w:t>
      </w:r>
      <w:r w:rsidRPr="00F075F9">
        <w:rPr>
          <w:b/>
          <w:bCs/>
        </w:rPr>
        <w:t xml:space="preserve">Bas Uele (100%), Sud-Ubangi (98%), </w:t>
      </w:r>
      <w:proofErr w:type="spellStart"/>
      <w:r w:rsidRPr="00F075F9">
        <w:rPr>
          <w:b/>
          <w:bCs/>
        </w:rPr>
        <w:t>Kasai</w:t>
      </w:r>
      <w:proofErr w:type="spellEnd"/>
      <w:r w:rsidRPr="00F075F9">
        <w:rPr>
          <w:b/>
          <w:bCs/>
        </w:rPr>
        <w:t xml:space="preserve"> Central (94%), Nord-Ubangi (91%) et </w:t>
      </w:r>
      <w:proofErr w:type="spellStart"/>
      <w:r w:rsidRPr="00F075F9">
        <w:rPr>
          <w:b/>
          <w:bCs/>
        </w:rPr>
        <w:t>Mongala</w:t>
      </w:r>
      <w:proofErr w:type="spellEnd"/>
      <w:r w:rsidRPr="00F075F9">
        <w:rPr>
          <w:b/>
          <w:bCs/>
        </w:rPr>
        <w:t xml:space="preserve"> (90%)</w:t>
      </w:r>
      <w:r w:rsidRPr="00F075F9">
        <w:t xml:space="preserve">, car ont bénéficié d’un accompagnement renforcé dans l’encodage des données et une supervision des sous récipiendaires au mois de juin 2025. D’autres provinces enregistrent des résultats beaucoup plus faibles : </w:t>
      </w:r>
      <w:r w:rsidRPr="00F075F9">
        <w:rPr>
          <w:b/>
          <w:bCs/>
        </w:rPr>
        <w:t xml:space="preserve">Kwango (11%), Kwilu (21%), </w:t>
      </w:r>
      <w:proofErr w:type="spellStart"/>
      <w:r w:rsidRPr="00F075F9">
        <w:rPr>
          <w:b/>
          <w:bCs/>
        </w:rPr>
        <w:t>Tshopo</w:t>
      </w:r>
      <w:proofErr w:type="spellEnd"/>
      <w:r w:rsidRPr="00F075F9">
        <w:rPr>
          <w:b/>
          <w:bCs/>
        </w:rPr>
        <w:t xml:space="preserve"> (22%), </w:t>
      </w:r>
      <w:proofErr w:type="spellStart"/>
      <w:r w:rsidRPr="00F075F9">
        <w:rPr>
          <w:b/>
          <w:bCs/>
        </w:rPr>
        <w:t>Maindombe</w:t>
      </w:r>
      <w:proofErr w:type="spellEnd"/>
      <w:r w:rsidRPr="00F075F9">
        <w:rPr>
          <w:b/>
          <w:bCs/>
        </w:rPr>
        <w:t xml:space="preserve"> (29%), Haut-Uélé (30%) et Sankuru (32%),</w:t>
      </w:r>
      <w:r w:rsidRPr="00F075F9">
        <w:t xml:space="preserve"> illustrant les difficultés persistantes en termes d’approvisionnement et de gestion logistique. </w:t>
      </w:r>
    </w:p>
    <w:p w14:paraId="432029BB" w14:textId="77777777" w:rsidR="001F6203" w:rsidRPr="00F075F9" w:rsidRDefault="001F6203" w:rsidP="001F6203">
      <w:pPr>
        <w:jc w:val="both"/>
      </w:pPr>
      <w:r w:rsidRPr="00F075F9">
        <w:t>La disponibilité des ARV est très inégale selon les catégories d’âge, avec un taux de 71% pour les ARV adultes contre seulement 29% pour les ARV pédiatriques.</w:t>
      </w:r>
    </w:p>
    <w:p w14:paraId="43EDD09D" w14:textId="435D2B0A" w:rsidR="001F6203" w:rsidRPr="00F075F9" w:rsidRDefault="00C90351" w:rsidP="001F6203">
      <w:pPr>
        <w:jc w:val="both"/>
      </w:pPr>
      <w:r w:rsidRPr="00F075F9">
        <w:t>En réalité</w:t>
      </w:r>
      <w:r w:rsidR="006B5A29" w:rsidRPr="00F075F9">
        <w:t xml:space="preserve">, </w:t>
      </w:r>
      <w:r w:rsidR="000B2D2E" w:rsidRPr="00F075F9">
        <w:t>la</w:t>
      </w:r>
      <w:r w:rsidR="00C33124" w:rsidRPr="00F075F9">
        <w:t xml:space="preserve"> </w:t>
      </w:r>
      <w:r w:rsidR="006B5A29" w:rsidRPr="00F075F9">
        <w:t>faible disponibilité</w:t>
      </w:r>
      <w:r w:rsidR="000B2D2E" w:rsidRPr="00F075F9">
        <w:t xml:space="preserve"> est expliquée par </w:t>
      </w:r>
      <w:r w:rsidR="00C51D07" w:rsidRPr="00F075F9">
        <w:t>le manque de placement</w:t>
      </w:r>
      <w:r w:rsidR="002C172E" w:rsidRPr="00F075F9">
        <w:t>s</w:t>
      </w:r>
      <w:r w:rsidR="00C51D07" w:rsidRPr="00F075F9">
        <w:t xml:space="preserve"> de commandes des intrants</w:t>
      </w:r>
      <w:r w:rsidR="00D8623C" w:rsidRPr="00F075F9">
        <w:t xml:space="preserve"> à temps</w:t>
      </w:r>
      <w:r w:rsidR="00C51D07" w:rsidRPr="00F075F9">
        <w:t xml:space="preserve"> </w:t>
      </w:r>
      <w:r w:rsidR="00BB2C91" w:rsidRPr="00F075F9">
        <w:t xml:space="preserve">par </w:t>
      </w:r>
      <w:r w:rsidR="00D8623C" w:rsidRPr="00F075F9">
        <w:t>absence</w:t>
      </w:r>
      <w:r w:rsidR="00BB2C91" w:rsidRPr="00F075F9">
        <w:t xml:space="preserve"> de PR pendant </w:t>
      </w:r>
      <w:r w:rsidR="000B2D2E" w:rsidRPr="00F075F9">
        <w:t xml:space="preserve">la longue </w:t>
      </w:r>
      <w:r w:rsidR="00D8623C" w:rsidRPr="00F075F9">
        <w:t xml:space="preserve">période </w:t>
      </w:r>
      <w:r w:rsidR="000B2D2E" w:rsidRPr="00F075F9">
        <w:t xml:space="preserve">transition </w:t>
      </w:r>
      <w:r w:rsidR="0061753F" w:rsidRPr="00F075F9">
        <w:t>du</w:t>
      </w:r>
      <w:r w:rsidR="000B2D2E" w:rsidRPr="00F075F9">
        <w:t xml:space="preserve"> PR</w:t>
      </w:r>
      <w:r w:rsidR="0061753F" w:rsidRPr="00F075F9">
        <w:t xml:space="preserve"> C</w:t>
      </w:r>
      <w:r w:rsidRPr="00F075F9">
        <w:t>ORDAID</w:t>
      </w:r>
      <w:r w:rsidR="0061753F" w:rsidRPr="00F075F9">
        <w:t xml:space="preserve"> au PR PNUD. </w:t>
      </w:r>
      <w:r w:rsidR="00372DC0" w:rsidRPr="00F075F9">
        <w:t xml:space="preserve">Les commandes placées par PNUD </w:t>
      </w:r>
      <w:r w:rsidRPr="00F075F9">
        <w:t>ont commencé</w:t>
      </w:r>
      <w:r w:rsidR="00041306" w:rsidRPr="00F075F9">
        <w:t xml:space="preserve"> à être réceptionnées à partir d</w:t>
      </w:r>
      <w:r w:rsidRPr="00F075F9">
        <w:t>e mai 2025.</w:t>
      </w:r>
      <w:r w:rsidR="006B5A29" w:rsidRPr="00F075F9">
        <w:t xml:space="preserve"> </w:t>
      </w:r>
    </w:p>
    <w:p w14:paraId="1568DD2C" w14:textId="77777777" w:rsidR="001F6203" w:rsidRPr="00F075F9" w:rsidRDefault="001F6203" w:rsidP="001F6203">
      <w:pPr>
        <w:jc w:val="both"/>
      </w:pPr>
      <w:r w:rsidRPr="00F075F9">
        <w:t>Pour améliorer la situation, plusieurs mesures sont en cours ou envisagées. La transition vers le régime PALD, une combinaison d’</w:t>
      </w:r>
      <w:proofErr w:type="spellStart"/>
      <w:r w:rsidRPr="00F075F9">
        <w:t>Abacavir</w:t>
      </w:r>
      <w:proofErr w:type="spellEnd"/>
      <w:r w:rsidRPr="00F075F9">
        <w:t xml:space="preserve">, </w:t>
      </w:r>
      <w:proofErr w:type="spellStart"/>
      <w:r w:rsidRPr="00F075F9">
        <w:t>Lamivudine</w:t>
      </w:r>
      <w:proofErr w:type="spellEnd"/>
      <w:r w:rsidRPr="00F075F9">
        <w:t xml:space="preserve"> et </w:t>
      </w:r>
      <w:proofErr w:type="spellStart"/>
      <w:r w:rsidRPr="00F075F9">
        <w:t>Dolutegravir</w:t>
      </w:r>
      <w:proofErr w:type="spellEnd"/>
      <w:r w:rsidRPr="00F075F9">
        <w:t xml:space="preserve"> 10 mg prévue pour le troisième trimestre 2025, devrait permettre de réduire les ruptures liées à l’indisponibilité de l’une des molécules utilisées dans le traitement pédiatrique actuel du VIH chez les enfants.</w:t>
      </w:r>
    </w:p>
    <w:p w14:paraId="72F9950F" w14:textId="77777777" w:rsidR="001F6203" w:rsidRPr="00F075F9" w:rsidRDefault="001F6203" w:rsidP="001F6203">
      <w:pPr>
        <w:jc w:val="both"/>
      </w:pPr>
      <w:r w:rsidRPr="00F075F9">
        <w:t>Le projet prévoit également de financer les frais de transport « last mile », ce qui facilitera le transfert des ARV des BCZS vers les établissements de santé. Un accompagnement renforcé des zones de santé dans l’encodage des données SIGL par les sous-récipiendaires est en place pour améliorer la promptitude et la complétude des données dans DHIS2</w:t>
      </w:r>
    </w:p>
    <w:bookmarkEnd w:id="9"/>
    <w:p w14:paraId="6BD84381" w14:textId="77777777" w:rsidR="001F6203" w:rsidRPr="00F075F9" w:rsidRDefault="001F6203" w:rsidP="001F6203">
      <w:pPr>
        <w:jc w:val="both"/>
      </w:pPr>
    </w:p>
    <w:p w14:paraId="62A28ACC" w14:textId="77777777" w:rsidR="001F6203" w:rsidRPr="00F075F9" w:rsidRDefault="001F6203" w:rsidP="001F6203">
      <w:pPr>
        <w:jc w:val="both"/>
      </w:pPr>
    </w:p>
    <w:tbl>
      <w:tblPr>
        <w:tblStyle w:val="Grilledutableau"/>
        <w:tblW w:w="10349" w:type="dxa"/>
        <w:tblInd w:w="-289" w:type="dxa"/>
        <w:tblLayout w:type="fixed"/>
        <w:tblLook w:val="04A0" w:firstRow="1" w:lastRow="0" w:firstColumn="1" w:lastColumn="0" w:noHBand="0" w:noVBand="1"/>
      </w:tblPr>
      <w:tblGrid>
        <w:gridCol w:w="1728"/>
        <w:gridCol w:w="929"/>
        <w:gridCol w:w="746"/>
        <w:gridCol w:w="992"/>
        <w:gridCol w:w="709"/>
        <w:gridCol w:w="567"/>
        <w:gridCol w:w="992"/>
        <w:gridCol w:w="567"/>
        <w:gridCol w:w="709"/>
        <w:gridCol w:w="992"/>
        <w:gridCol w:w="1418"/>
      </w:tblGrid>
      <w:tr w:rsidR="001F6203" w:rsidRPr="00F075F9" w14:paraId="31C66019" w14:textId="77777777" w:rsidTr="002914FE">
        <w:trPr>
          <w:trHeight w:val="413"/>
        </w:trPr>
        <w:tc>
          <w:tcPr>
            <w:tcW w:w="1728" w:type="dxa"/>
            <w:vMerge w:val="restart"/>
          </w:tcPr>
          <w:p w14:paraId="10B39359"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Indicateur</w:t>
            </w:r>
          </w:p>
        </w:tc>
        <w:tc>
          <w:tcPr>
            <w:tcW w:w="929" w:type="dxa"/>
            <w:vMerge w:val="restart"/>
            <w:shd w:val="clear" w:color="auto" w:fill="BEBEBE"/>
          </w:tcPr>
          <w:p w14:paraId="54286BA3" w14:textId="77777777" w:rsidR="001F6203" w:rsidRPr="00F075F9" w:rsidRDefault="001F6203"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746" w:type="dxa"/>
            <w:vMerge w:val="restart"/>
            <w:shd w:val="clear" w:color="auto" w:fill="BEBEBE"/>
          </w:tcPr>
          <w:p w14:paraId="2DB62FCC"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T1 2025</w:t>
            </w:r>
          </w:p>
        </w:tc>
        <w:tc>
          <w:tcPr>
            <w:tcW w:w="992" w:type="dxa"/>
            <w:vMerge w:val="restart"/>
            <w:shd w:val="clear" w:color="auto" w:fill="BEBEBE"/>
          </w:tcPr>
          <w:p w14:paraId="415467F2"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T2 2025</w:t>
            </w:r>
          </w:p>
        </w:tc>
        <w:tc>
          <w:tcPr>
            <w:tcW w:w="2268" w:type="dxa"/>
            <w:gridSpan w:val="3"/>
            <w:shd w:val="clear" w:color="auto" w:fill="BEBEBE"/>
            <w:vAlign w:val="center"/>
          </w:tcPr>
          <w:p w14:paraId="5E2489A7"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686" w:type="dxa"/>
            <w:gridSpan w:val="4"/>
            <w:shd w:val="clear" w:color="auto" w:fill="83CAEB" w:themeFill="accent1" w:themeFillTint="66"/>
            <w:vAlign w:val="center"/>
          </w:tcPr>
          <w:p w14:paraId="3AC1A43C"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Résultats S1 2025</w:t>
            </w:r>
          </w:p>
        </w:tc>
      </w:tr>
      <w:tr w:rsidR="001F6203" w:rsidRPr="00F075F9" w14:paraId="45277499" w14:textId="77777777" w:rsidTr="002914FE">
        <w:trPr>
          <w:trHeight w:val="289"/>
        </w:trPr>
        <w:tc>
          <w:tcPr>
            <w:tcW w:w="1728" w:type="dxa"/>
            <w:vMerge/>
          </w:tcPr>
          <w:p w14:paraId="226171CE" w14:textId="77777777" w:rsidR="001F6203" w:rsidRPr="00F075F9" w:rsidRDefault="001F6203" w:rsidP="002914FE">
            <w:pPr>
              <w:pStyle w:val="Paragraphedeliste"/>
              <w:ind w:left="0"/>
              <w:jc w:val="both"/>
            </w:pPr>
          </w:p>
        </w:tc>
        <w:tc>
          <w:tcPr>
            <w:tcW w:w="929" w:type="dxa"/>
            <w:vMerge/>
          </w:tcPr>
          <w:p w14:paraId="0F57B3B2" w14:textId="77777777" w:rsidR="001F6203" w:rsidRPr="00F075F9" w:rsidRDefault="001F6203" w:rsidP="002914FE">
            <w:pPr>
              <w:pStyle w:val="Paragraphedeliste"/>
              <w:ind w:left="0"/>
              <w:jc w:val="center"/>
            </w:pPr>
          </w:p>
        </w:tc>
        <w:tc>
          <w:tcPr>
            <w:tcW w:w="746" w:type="dxa"/>
            <w:vMerge/>
          </w:tcPr>
          <w:p w14:paraId="32956E8F"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992" w:type="dxa"/>
            <w:vMerge/>
          </w:tcPr>
          <w:p w14:paraId="29BF34F3" w14:textId="77777777" w:rsidR="001F6203" w:rsidRPr="00F075F9" w:rsidRDefault="001F6203"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p>
        </w:tc>
        <w:tc>
          <w:tcPr>
            <w:tcW w:w="709" w:type="dxa"/>
            <w:shd w:val="clear" w:color="auto" w:fill="BEBEBE"/>
            <w:vAlign w:val="center"/>
          </w:tcPr>
          <w:p w14:paraId="275F0F51"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567" w:type="dxa"/>
            <w:shd w:val="clear" w:color="auto" w:fill="BEBEBE"/>
            <w:vAlign w:val="center"/>
          </w:tcPr>
          <w:p w14:paraId="04DB6362"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92" w:type="dxa"/>
            <w:shd w:val="clear" w:color="auto" w:fill="BEBEBE"/>
            <w:vAlign w:val="center"/>
          </w:tcPr>
          <w:p w14:paraId="6F80489E"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Cible (%)</w:t>
            </w:r>
          </w:p>
        </w:tc>
        <w:tc>
          <w:tcPr>
            <w:tcW w:w="567" w:type="dxa"/>
            <w:shd w:val="clear" w:color="auto" w:fill="83CAEB" w:themeFill="accent1" w:themeFillTint="66"/>
            <w:vAlign w:val="center"/>
          </w:tcPr>
          <w:p w14:paraId="276EC112"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09" w:type="dxa"/>
            <w:shd w:val="clear" w:color="auto" w:fill="83CAEB" w:themeFill="accent1" w:themeFillTint="66"/>
            <w:vAlign w:val="center"/>
          </w:tcPr>
          <w:p w14:paraId="5EF1AA20"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92" w:type="dxa"/>
            <w:shd w:val="clear" w:color="auto" w:fill="83CAEB" w:themeFill="accent1" w:themeFillTint="66"/>
            <w:vAlign w:val="center"/>
          </w:tcPr>
          <w:p w14:paraId="78187E9D"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w:t>
            </w:r>
          </w:p>
        </w:tc>
        <w:tc>
          <w:tcPr>
            <w:tcW w:w="1418" w:type="dxa"/>
            <w:shd w:val="clear" w:color="auto" w:fill="83CAEB" w:themeFill="accent1" w:themeFillTint="66"/>
            <w:vAlign w:val="center"/>
          </w:tcPr>
          <w:p w14:paraId="5EBE49F0"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1F6203" w:rsidRPr="00F075F9" w14:paraId="37545859" w14:textId="77777777" w:rsidTr="002914FE">
        <w:trPr>
          <w:trHeight w:val="1385"/>
        </w:trPr>
        <w:tc>
          <w:tcPr>
            <w:tcW w:w="1728" w:type="dxa"/>
            <w:tcBorders>
              <w:top w:val="single" w:sz="4" w:space="0" w:color="auto"/>
              <w:bottom w:val="single" w:sz="4" w:space="0" w:color="auto"/>
              <w:right w:val="single" w:sz="4" w:space="0" w:color="auto"/>
            </w:tcBorders>
            <w:shd w:val="clear" w:color="auto" w:fill="E9E9E9"/>
            <w:vAlign w:val="center"/>
          </w:tcPr>
          <w:p w14:paraId="15B0E774" w14:textId="77777777" w:rsidR="001F6203" w:rsidRPr="00F075F9" w:rsidRDefault="001F6203" w:rsidP="002914FE">
            <w:pPr>
              <w:pStyle w:val="Paragraphedeliste"/>
              <w:ind w:left="0"/>
              <w:rPr>
                <w:sz w:val="22"/>
                <w:szCs w:val="22"/>
              </w:rPr>
            </w:pPr>
            <w:r w:rsidRPr="00F075F9">
              <w:rPr>
                <w:rFonts w:ascii="Aptos" w:eastAsia="Aptos" w:hAnsi="Aptos" w:cs="Calibri"/>
                <w:b/>
                <w:bCs/>
                <w:color w:val="000000"/>
                <w:sz w:val="22"/>
                <w:szCs w:val="22"/>
              </w:rPr>
              <w:t>HPM 6 autre-3 Pourcentage d'établissements de santé disposant de test de diagnostic pour le VIH disponibles le jour de la visite ou le jour de l'établissement du rapport</w:t>
            </w:r>
          </w:p>
        </w:tc>
        <w:tc>
          <w:tcPr>
            <w:tcW w:w="929" w:type="dxa"/>
            <w:tcBorders>
              <w:top w:val="single" w:sz="4" w:space="0" w:color="auto"/>
              <w:left w:val="single" w:sz="4" w:space="0" w:color="auto"/>
              <w:bottom w:val="single" w:sz="4" w:space="0" w:color="auto"/>
              <w:right w:val="single" w:sz="4" w:space="0" w:color="auto"/>
            </w:tcBorders>
            <w:vAlign w:val="center"/>
          </w:tcPr>
          <w:p w14:paraId="3EAC06C3" w14:textId="77777777" w:rsidR="001F6203" w:rsidRPr="00F075F9" w:rsidRDefault="001F6203" w:rsidP="002914FE">
            <w:pPr>
              <w:pStyle w:val="Paragraphedeliste"/>
              <w:ind w:left="0"/>
              <w:jc w:val="center"/>
            </w:pPr>
            <w:r w:rsidRPr="00F075F9">
              <w:rPr>
                <w:rFonts w:ascii="Aptos Display" w:hAnsi="Aptos Display" w:cs="Calibri"/>
                <w:color w:val="000000"/>
                <w:sz w:val="20"/>
                <w:szCs w:val="20"/>
              </w:rPr>
              <w:t>34,0%</w:t>
            </w:r>
          </w:p>
        </w:tc>
        <w:tc>
          <w:tcPr>
            <w:tcW w:w="746" w:type="dxa"/>
            <w:tcBorders>
              <w:top w:val="single" w:sz="4" w:space="0" w:color="auto"/>
              <w:left w:val="single" w:sz="4" w:space="0" w:color="auto"/>
              <w:bottom w:val="single" w:sz="4" w:space="0" w:color="auto"/>
              <w:right w:val="single" w:sz="4" w:space="0" w:color="auto"/>
            </w:tcBorders>
            <w:vAlign w:val="center"/>
          </w:tcPr>
          <w:p w14:paraId="688C3477" w14:textId="77777777" w:rsidR="001F6203" w:rsidRPr="00F075F9" w:rsidRDefault="001F6203"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18,9%</w:t>
            </w:r>
          </w:p>
        </w:tc>
        <w:tc>
          <w:tcPr>
            <w:tcW w:w="992" w:type="dxa"/>
            <w:tcBorders>
              <w:top w:val="single" w:sz="4" w:space="0" w:color="auto"/>
              <w:left w:val="single" w:sz="4" w:space="0" w:color="auto"/>
              <w:bottom w:val="single" w:sz="4" w:space="0" w:color="auto"/>
              <w:right w:val="single" w:sz="4" w:space="0" w:color="auto"/>
            </w:tcBorders>
            <w:vAlign w:val="center"/>
          </w:tcPr>
          <w:p w14:paraId="65C599F6" w14:textId="77777777" w:rsidR="001F6203" w:rsidRPr="00F075F9" w:rsidRDefault="001F6203"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 17,67%</w:t>
            </w:r>
          </w:p>
        </w:tc>
        <w:tc>
          <w:tcPr>
            <w:tcW w:w="709" w:type="dxa"/>
            <w:tcBorders>
              <w:top w:val="single" w:sz="4" w:space="0" w:color="auto"/>
              <w:left w:val="single" w:sz="4" w:space="0" w:color="auto"/>
              <w:bottom w:val="single" w:sz="4" w:space="0" w:color="auto"/>
              <w:right w:val="single" w:sz="4" w:space="0" w:color="auto"/>
            </w:tcBorders>
            <w:shd w:val="clear" w:color="000000" w:fill="E7E6E6"/>
            <w:vAlign w:val="center"/>
          </w:tcPr>
          <w:p w14:paraId="68B05F50"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NA</w:t>
            </w:r>
          </w:p>
        </w:tc>
        <w:tc>
          <w:tcPr>
            <w:tcW w:w="567" w:type="dxa"/>
            <w:tcBorders>
              <w:top w:val="single" w:sz="4" w:space="0" w:color="auto"/>
              <w:left w:val="single" w:sz="4" w:space="0" w:color="auto"/>
              <w:bottom w:val="single" w:sz="4" w:space="0" w:color="auto"/>
              <w:right w:val="single" w:sz="4" w:space="0" w:color="auto"/>
            </w:tcBorders>
            <w:shd w:val="clear" w:color="000000" w:fill="E7E6E6"/>
            <w:vAlign w:val="center"/>
          </w:tcPr>
          <w:p w14:paraId="51455DF2"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000000" w:fill="E7E6E6"/>
            <w:vAlign w:val="center"/>
          </w:tcPr>
          <w:p w14:paraId="6D31FD9B"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85,00%</w:t>
            </w:r>
          </w:p>
        </w:tc>
        <w:tc>
          <w:tcPr>
            <w:tcW w:w="567" w:type="dxa"/>
            <w:tcBorders>
              <w:top w:val="single" w:sz="4" w:space="0" w:color="auto"/>
              <w:left w:val="single" w:sz="4" w:space="0" w:color="auto"/>
              <w:bottom w:val="single" w:sz="4" w:space="0" w:color="auto"/>
              <w:right w:val="single" w:sz="4" w:space="0" w:color="auto"/>
            </w:tcBorders>
            <w:vAlign w:val="center"/>
          </w:tcPr>
          <w:p w14:paraId="31DB0458" w14:textId="77777777" w:rsidR="001F6203" w:rsidRPr="00F075F9" w:rsidRDefault="001F6203" w:rsidP="002914FE">
            <w:pPr>
              <w:pStyle w:val="Paragraphedeliste"/>
              <w:ind w:left="0"/>
              <w:jc w:val="both"/>
            </w:pPr>
            <w:r w:rsidRPr="00F075F9">
              <w:rPr>
                <w:rFonts w:ascii="Calibri" w:hAnsi="Calibri" w:cs="Calibri"/>
                <w:color w:val="000000"/>
                <w:sz w:val="22"/>
                <w:szCs w:val="22"/>
              </w:rPr>
              <w:t>746</w:t>
            </w:r>
          </w:p>
        </w:tc>
        <w:tc>
          <w:tcPr>
            <w:tcW w:w="709" w:type="dxa"/>
            <w:tcBorders>
              <w:top w:val="single" w:sz="4" w:space="0" w:color="auto"/>
              <w:left w:val="single" w:sz="4" w:space="0" w:color="auto"/>
              <w:bottom w:val="single" w:sz="4" w:space="0" w:color="auto"/>
              <w:right w:val="single" w:sz="4" w:space="0" w:color="auto"/>
            </w:tcBorders>
            <w:vAlign w:val="center"/>
          </w:tcPr>
          <w:p w14:paraId="3A426023"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4221</w:t>
            </w:r>
          </w:p>
        </w:tc>
        <w:tc>
          <w:tcPr>
            <w:tcW w:w="992" w:type="dxa"/>
            <w:tcBorders>
              <w:top w:val="single" w:sz="4" w:space="0" w:color="auto"/>
              <w:left w:val="single" w:sz="4" w:space="0" w:color="auto"/>
              <w:bottom w:val="single" w:sz="4" w:space="0" w:color="auto"/>
              <w:right w:val="single" w:sz="4" w:space="0" w:color="auto"/>
            </w:tcBorders>
            <w:vAlign w:val="center"/>
          </w:tcPr>
          <w:p w14:paraId="1F6EF316"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17,67%</w:t>
            </w:r>
          </w:p>
        </w:tc>
        <w:tc>
          <w:tcPr>
            <w:tcW w:w="1418" w:type="dxa"/>
            <w:tcBorders>
              <w:top w:val="single" w:sz="4" w:space="0" w:color="auto"/>
              <w:left w:val="single" w:sz="4" w:space="0" w:color="auto"/>
              <w:bottom w:val="single" w:sz="4" w:space="0" w:color="auto"/>
              <w:right w:val="single" w:sz="4" w:space="0" w:color="auto"/>
            </w:tcBorders>
            <w:shd w:val="clear" w:color="000000" w:fill="FF0000"/>
            <w:vAlign w:val="center"/>
          </w:tcPr>
          <w:p w14:paraId="7E705AB2"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20,78%</w:t>
            </w:r>
          </w:p>
        </w:tc>
      </w:tr>
    </w:tbl>
    <w:p w14:paraId="39CE2793" w14:textId="77777777" w:rsidR="001F6203" w:rsidRPr="00F075F9" w:rsidRDefault="001F6203" w:rsidP="001F6203">
      <w:pPr>
        <w:jc w:val="both"/>
      </w:pPr>
      <w:r w:rsidRPr="00F075F9">
        <w:t>Source des données : DHIS2/ SNIS RDC</w:t>
      </w:r>
    </w:p>
    <w:p w14:paraId="34D0F2B1" w14:textId="77777777" w:rsidR="001F6203" w:rsidRPr="00F075F9" w:rsidRDefault="001F6203" w:rsidP="001F6203">
      <w:pPr>
        <w:jc w:val="both"/>
        <w:rPr>
          <w:b/>
          <w:bCs/>
        </w:rPr>
      </w:pPr>
    </w:p>
    <w:p w14:paraId="4EFB444B" w14:textId="77777777" w:rsidR="001F6203" w:rsidRPr="00F075F9" w:rsidRDefault="001F6203" w:rsidP="001F6203">
      <w:pPr>
        <w:jc w:val="both"/>
        <w:rPr>
          <w:b/>
          <w:bCs/>
        </w:rPr>
      </w:pPr>
      <w:r w:rsidRPr="00F075F9">
        <w:rPr>
          <w:b/>
          <w:bCs/>
        </w:rPr>
        <w:t>Commentaires du PR sur le HPM 6 autre - 3</w:t>
      </w:r>
    </w:p>
    <w:p w14:paraId="1877E2D7" w14:textId="7E3EF3AB" w:rsidR="001F6203" w:rsidRPr="00F075F9" w:rsidRDefault="001F6203" w:rsidP="001F6203">
      <w:pPr>
        <w:jc w:val="both"/>
      </w:pPr>
      <w:r w:rsidRPr="00F075F9">
        <w:t xml:space="preserve">Le résultat du premier semestre 2025, sur le pourcentage des établissements de santé disposant des tests de diagnostic pour le VIH s’établit à seulement 17,67%, très éloigné de la cible de 85%. La performance calculée est de 20,78%, traduisant une </w:t>
      </w:r>
      <w:r w:rsidR="009F77E2" w:rsidRPr="00F075F9">
        <w:t>légère</w:t>
      </w:r>
      <w:r w:rsidRPr="00F075F9">
        <w:t xml:space="preserve"> régression par rapport au premier trimestre 2025 où le taux était de 18,9%, et au quatrième trimestre 2024 où ce taux s’élevait encore à 34%.</w:t>
      </w:r>
    </w:p>
    <w:p w14:paraId="4A4613AB" w14:textId="77777777" w:rsidR="001F6203" w:rsidRPr="00F075F9" w:rsidRDefault="001F6203" w:rsidP="001F6203">
      <w:pPr>
        <w:jc w:val="both"/>
      </w:pPr>
    </w:p>
    <w:p w14:paraId="7D6D5E7C" w14:textId="77777777" w:rsidR="001F6203" w:rsidRPr="00F075F9" w:rsidRDefault="001F6203" w:rsidP="001F6203">
      <w:pPr>
        <w:jc w:val="both"/>
      </w:pPr>
      <w:r w:rsidRPr="00F075F9">
        <w:t xml:space="preserve">L’indicateur est calculé à partir du nombre d’établissements PTME et CDT disposant d’un stock positif (SDU &gt; 0) des tests VIH « </w:t>
      </w:r>
      <w:proofErr w:type="spellStart"/>
      <w:r w:rsidRPr="00F075F9">
        <w:t>Determine</w:t>
      </w:r>
      <w:proofErr w:type="spellEnd"/>
      <w:r w:rsidRPr="00F075F9">
        <w:t xml:space="preserve"> HIV1/2 » et « </w:t>
      </w:r>
      <w:proofErr w:type="spellStart"/>
      <w:r w:rsidRPr="00F075F9">
        <w:t>Unigold</w:t>
      </w:r>
      <w:proofErr w:type="spellEnd"/>
      <w:r w:rsidRPr="00F075F9">
        <w:t xml:space="preserve"> HIV » lors du dernier mois du trimestre ou du semestre, divisé par le nombre total d’établissements de santé concernés. </w:t>
      </w:r>
    </w:p>
    <w:p w14:paraId="07535D68" w14:textId="3F93F255" w:rsidR="005E7CBD" w:rsidRPr="00F075F9" w:rsidRDefault="005E7CBD" w:rsidP="001F6203">
      <w:pPr>
        <w:jc w:val="both"/>
      </w:pPr>
      <w:r w:rsidRPr="00F075F9">
        <w:t xml:space="preserve">L’analyse par province révèle de fortes disparités, avec le </w:t>
      </w:r>
      <w:r w:rsidRPr="00F075F9">
        <w:rPr>
          <w:b/>
          <w:bCs/>
        </w:rPr>
        <w:t>Nord Ubangi et le Sud Ubangi</w:t>
      </w:r>
      <w:r w:rsidRPr="00F075F9">
        <w:t xml:space="preserve"> affichant des taux élevés respectivement à 82,76% et 76,32%, tandis que de nombreuses provinces comme </w:t>
      </w:r>
      <w:r w:rsidRPr="00F075F9">
        <w:rPr>
          <w:b/>
          <w:bCs/>
        </w:rPr>
        <w:t>Kwango (1,18%)</w:t>
      </w:r>
      <w:r w:rsidRPr="00F075F9">
        <w:t xml:space="preserve"> ou </w:t>
      </w:r>
      <w:proofErr w:type="spellStart"/>
      <w:r w:rsidRPr="00F075F9">
        <w:rPr>
          <w:b/>
          <w:bCs/>
        </w:rPr>
        <w:t>Kasai</w:t>
      </w:r>
      <w:proofErr w:type="spellEnd"/>
      <w:r w:rsidRPr="00F075F9">
        <w:rPr>
          <w:b/>
          <w:bCs/>
        </w:rPr>
        <w:t xml:space="preserve"> Central (2,59%)</w:t>
      </w:r>
      <w:r w:rsidRPr="00F075F9">
        <w:t xml:space="preserve"> restent très faibles.</w:t>
      </w:r>
      <w:r w:rsidR="00062C9A" w:rsidRPr="00F075F9">
        <w:t xml:space="preserve"> </w:t>
      </w:r>
      <w:r w:rsidR="003B57FD" w:rsidRPr="00F075F9">
        <w:t>Cette situation s’explique notamment par le non-respect par certains prestataires de la stratégie prévue d’utilisation des tests, impliquant une consommation dans les sites non PTME au détriment des sites ciblés, provoquant ainsi des ruptures de stock. De plus, l’absence d’un stock de sécurité entre les subventions GC6 et GC7 aggrave ce phénomène.</w:t>
      </w:r>
    </w:p>
    <w:p w14:paraId="67CEB34E" w14:textId="1DCF8D01" w:rsidR="001F6203" w:rsidRPr="00F075F9" w:rsidRDefault="001F6203" w:rsidP="001F6203">
      <w:pPr>
        <w:jc w:val="both"/>
      </w:pPr>
      <w:r w:rsidRPr="00F075F9">
        <w:t xml:space="preserve">Il convient de noter que la politique nationale prévoit un algorithme de dépistage à trois tests (Détermine, Stat Pak, et </w:t>
      </w:r>
      <w:proofErr w:type="spellStart"/>
      <w:r w:rsidRPr="00F075F9">
        <w:t>Unigold</w:t>
      </w:r>
      <w:proofErr w:type="spellEnd"/>
      <w:r w:rsidRPr="00F075F9">
        <w:t xml:space="preserve">), avec un protocole spécifique pour les femmes </w:t>
      </w:r>
      <w:r w:rsidRPr="00F075F9">
        <w:lastRenderedPageBreak/>
        <w:t xml:space="preserve">enceintes intégrant le Duo test, Stat Pak et </w:t>
      </w:r>
      <w:proofErr w:type="spellStart"/>
      <w:r w:rsidRPr="00F075F9">
        <w:t>Unigold</w:t>
      </w:r>
      <w:proofErr w:type="spellEnd"/>
      <w:r w:rsidRPr="00F075F9">
        <w:t xml:space="preserve">. Cependant, seuls les tests </w:t>
      </w:r>
      <w:proofErr w:type="spellStart"/>
      <w:r w:rsidRPr="00F075F9">
        <w:t>Determine</w:t>
      </w:r>
      <w:proofErr w:type="spellEnd"/>
      <w:r w:rsidRPr="00F075F9">
        <w:t xml:space="preserve"> et </w:t>
      </w:r>
      <w:proofErr w:type="spellStart"/>
      <w:r w:rsidRPr="00F075F9">
        <w:t>Unigold</w:t>
      </w:r>
      <w:proofErr w:type="spellEnd"/>
      <w:r w:rsidRPr="00F075F9">
        <w:t xml:space="preserve"> sont paramétrés dans DHIS2, ce qui fait que la disponibilité du Duo test n’est pas prise en compte dans ce rapport et pourrait sous-estimer la disponibilité de tests de diagnostics dans les établissements de santé.</w:t>
      </w:r>
      <w:r w:rsidR="003E45DC" w:rsidRPr="00F075F9">
        <w:t xml:space="preserve"> </w:t>
      </w:r>
      <w:r w:rsidR="00D44883" w:rsidRPr="00F075F9">
        <w:t>En</w:t>
      </w:r>
      <w:r w:rsidR="003E45DC" w:rsidRPr="00F075F9">
        <w:t xml:space="preserve"> effet,</w:t>
      </w:r>
      <w:r w:rsidR="00172BCB" w:rsidRPr="00F075F9">
        <w:t xml:space="preserve"> un stock important de test</w:t>
      </w:r>
      <w:r w:rsidR="00CB099E" w:rsidRPr="00F075F9">
        <w:t>s</w:t>
      </w:r>
      <w:r w:rsidR="00172BCB" w:rsidRPr="00F075F9">
        <w:t xml:space="preserve"> DUO syphilis</w:t>
      </w:r>
      <w:r w:rsidR="00CB099E" w:rsidRPr="00F075F9">
        <w:t xml:space="preserve">-VIH était disponible dans les sites </w:t>
      </w:r>
      <w:r w:rsidR="00A82BDA" w:rsidRPr="00F075F9">
        <w:t>PTME mais n</w:t>
      </w:r>
      <w:r w:rsidR="004F36CD" w:rsidRPr="00F075F9">
        <w:t xml:space="preserve">e peuvent </w:t>
      </w:r>
      <w:r w:rsidR="00A82BDA" w:rsidRPr="00F075F9">
        <w:t>pas</w:t>
      </w:r>
      <w:r w:rsidR="004F36CD" w:rsidRPr="00F075F9">
        <w:t xml:space="preserve"> être rapportés </w:t>
      </w:r>
      <w:r w:rsidR="00A82BDA" w:rsidRPr="00F075F9">
        <w:t>dans DHIS2</w:t>
      </w:r>
      <w:r w:rsidR="005B79E8" w:rsidRPr="00F075F9">
        <w:t xml:space="preserve">. Comme la </w:t>
      </w:r>
      <w:r w:rsidR="00A46C46" w:rsidRPr="00F075F9">
        <w:t>disponibilité</w:t>
      </w:r>
      <w:r w:rsidR="005B79E8" w:rsidRPr="00F075F9">
        <w:t xml:space="preserve"> est calculée </w:t>
      </w:r>
      <w:r w:rsidR="00A46C46" w:rsidRPr="00F075F9">
        <w:t xml:space="preserve">à </w:t>
      </w:r>
      <w:r w:rsidR="008169FF" w:rsidRPr="00F075F9">
        <w:t>base des</w:t>
      </w:r>
      <w:r w:rsidR="00A46C46" w:rsidRPr="00F075F9">
        <w:t xml:space="preserve"> données DHIS2, </w:t>
      </w:r>
      <w:r w:rsidR="0005512C" w:rsidRPr="00F075F9">
        <w:t xml:space="preserve">la disponibilité est </w:t>
      </w:r>
      <w:r w:rsidR="00C35EBD" w:rsidRPr="00F075F9">
        <w:t>sous-estimée</w:t>
      </w:r>
      <w:r w:rsidR="00D42518" w:rsidRPr="00F075F9">
        <w:t xml:space="preserve"> </w:t>
      </w:r>
      <w:r w:rsidR="00C35EBD" w:rsidRPr="00F075F9">
        <w:t xml:space="preserve">par </w:t>
      </w:r>
      <w:r w:rsidR="002E7BF9" w:rsidRPr="00F075F9">
        <w:t>l</w:t>
      </w:r>
      <w:r w:rsidR="00DA74A6" w:rsidRPr="00F075F9">
        <w:t>’absence de</w:t>
      </w:r>
      <w:r w:rsidR="00C35EBD" w:rsidRPr="00F075F9">
        <w:t>s informations sur</w:t>
      </w:r>
      <w:r w:rsidR="002E7BF9" w:rsidRPr="00F075F9">
        <w:t xml:space="preserve"> </w:t>
      </w:r>
      <w:r w:rsidR="002F0EF6" w:rsidRPr="00F075F9">
        <w:t>ce type de test</w:t>
      </w:r>
      <w:r w:rsidR="00C35EBD" w:rsidRPr="00F075F9">
        <w:t xml:space="preserve">. </w:t>
      </w:r>
      <w:r w:rsidR="00701C63" w:rsidRPr="00F075F9">
        <w:t xml:space="preserve">Cela est un défi car le PNAM ne semble pas </w:t>
      </w:r>
      <w:r w:rsidR="00B37EC5" w:rsidRPr="00F075F9">
        <w:t xml:space="preserve">être </w:t>
      </w:r>
      <w:r w:rsidR="00B54139" w:rsidRPr="00F075F9">
        <w:t xml:space="preserve">prêt </w:t>
      </w:r>
      <w:r w:rsidR="008169FF" w:rsidRPr="00F075F9">
        <w:t>à permettre son paramétrage dans le système.</w:t>
      </w:r>
    </w:p>
    <w:p w14:paraId="7FC1A5B4" w14:textId="22BFABF1" w:rsidR="001F6203" w:rsidRPr="00F075F9" w:rsidRDefault="001F6203" w:rsidP="001F6203">
      <w:pPr>
        <w:jc w:val="both"/>
      </w:pPr>
      <w:r w:rsidRPr="00F075F9">
        <w:t xml:space="preserve">Face à ces difficultés, des actions sont prévues pour rétablir la disponibilité des tests VIH. La distribution des tests reçus en juin 2025 a été lancée, avec de nouveaux arrivages attendus fin août 2025. Ces efforts s’inscrivent dans la même dynamique que celle engagée pour l’indicateur HPM 4 autre-1 concernant les médicaments </w:t>
      </w:r>
      <w:r w:rsidR="004F605F" w:rsidRPr="00F075F9">
        <w:t>antituberculeux</w:t>
      </w:r>
      <w:r w:rsidRPr="00F075F9">
        <w:t>, notamment le renforcement du paiement des frais de transport « last mile », l’accompagnement des zones de santé dans l’encodage des données, et le suivi rapproché des stocks par les sous-récipiendaires.</w:t>
      </w:r>
    </w:p>
    <w:p w14:paraId="2F219B40" w14:textId="685F1467" w:rsidR="00897DD4" w:rsidRPr="00F075F9" w:rsidRDefault="00897DD4" w:rsidP="001F6203">
      <w:pPr>
        <w:jc w:val="both"/>
      </w:pPr>
      <w:r w:rsidRPr="00F075F9">
        <w:t>C</w:t>
      </w:r>
      <w:r w:rsidR="003B67F9" w:rsidRPr="00F075F9">
        <w:t xml:space="preserve">oncernant le </w:t>
      </w:r>
      <w:r w:rsidR="008D7707" w:rsidRPr="00F075F9">
        <w:t>non-paramétrage</w:t>
      </w:r>
      <w:r w:rsidR="003B67F9" w:rsidRPr="00F075F9">
        <w:t xml:space="preserve"> du test DUO syphilis-VIH</w:t>
      </w:r>
      <w:r w:rsidR="00C309DF" w:rsidRPr="00F075F9">
        <w:t xml:space="preserve">, </w:t>
      </w:r>
      <w:r w:rsidR="00A67F98" w:rsidRPr="00F075F9">
        <w:t>nous allons continuer à faire le plaidoyer auprès du PNAM et DSNIS pour qu’il soit paramétré dans DHIS2.</w:t>
      </w:r>
    </w:p>
    <w:p w14:paraId="14C13166" w14:textId="77777777" w:rsidR="00FB79D2" w:rsidRPr="00F075F9" w:rsidRDefault="00FB79D2" w:rsidP="00FB79D2">
      <w:pPr>
        <w:jc w:val="both"/>
      </w:pPr>
      <w:r w:rsidRPr="00F075F9">
        <w:t xml:space="preserve">Pour la période à venir, il est prévu de renforcer le respect des protocoles d’utilisation des tests pour éviter la surconsommation et de poursuivre les formations et le suivi sur le terrain. Ces mesures, combinées à une distribution continue des intrants, devraient permettre une hausse progressive de la disponibilité des tests VIH dans les établissements de santé à l’échelle nationale. </w:t>
      </w:r>
    </w:p>
    <w:p w14:paraId="5AB490BE" w14:textId="77777777" w:rsidR="00FB79D2" w:rsidRDefault="00FB79D2" w:rsidP="001F6203">
      <w:pPr>
        <w:jc w:val="both"/>
      </w:pPr>
    </w:p>
    <w:p w14:paraId="340E2A21" w14:textId="77777777" w:rsidR="004758E9" w:rsidRDefault="004758E9" w:rsidP="001F6203">
      <w:pPr>
        <w:jc w:val="both"/>
      </w:pPr>
    </w:p>
    <w:p w14:paraId="3C820B3C" w14:textId="77777777" w:rsidR="004758E9" w:rsidRDefault="004758E9" w:rsidP="001F6203">
      <w:pPr>
        <w:jc w:val="both"/>
      </w:pPr>
    </w:p>
    <w:p w14:paraId="6877658D" w14:textId="77777777" w:rsidR="004758E9" w:rsidRDefault="004758E9" w:rsidP="001F6203">
      <w:pPr>
        <w:jc w:val="both"/>
      </w:pPr>
    </w:p>
    <w:p w14:paraId="0909C734" w14:textId="77777777" w:rsidR="004758E9" w:rsidRDefault="004758E9" w:rsidP="001F6203">
      <w:pPr>
        <w:jc w:val="both"/>
      </w:pPr>
    </w:p>
    <w:p w14:paraId="4499DB2D" w14:textId="77777777" w:rsidR="004758E9" w:rsidRDefault="004758E9" w:rsidP="001F6203">
      <w:pPr>
        <w:jc w:val="both"/>
      </w:pPr>
    </w:p>
    <w:p w14:paraId="31BCD3EE" w14:textId="77777777" w:rsidR="004758E9" w:rsidRDefault="004758E9" w:rsidP="001F6203">
      <w:pPr>
        <w:jc w:val="both"/>
      </w:pPr>
    </w:p>
    <w:p w14:paraId="1053666B" w14:textId="77777777" w:rsidR="004758E9" w:rsidRDefault="004758E9" w:rsidP="001F6203">
      <w:pPr>
        <w:jc w:val="both"/>
      </w:pPr>
    </w:p>
    <w:p w14:paraId="34DFB9A7" w14:textId="77777777" w:rsidR="004758E9" w:rsidRDefault="004758E9" w:rsidP="001F6203">
      <w:pPr>
        <w:jc w:val="both"/>
      </w:pPr>
    </w:p>
    <w:p w14:paraId="4D4BCECE" w14:textId="77777777" w:rsidR="004758E9" w:rsidRPr="00F075F9" w:rsidRDefault="004758E9" w:rsidP="001F6203">
      <w:pPr>
        <w:jc w:val="both"/>
      </w:pPr>
    </w:p>
    <w:p w14:paraId="5F83FD3C" w14:textId="77777777" w:rsidR="001F3F35" w:rsidRDefault="001F3F35" w:rsidP="001F6203">
      <w:pPr>
        <w:jc w:val="both"/>
      </w:pPr>
    </w:p>
    <w:p w14:paraId="2E01364A" w14:textId="77777777" w:rsidR="00F2618D" w:rsidRPr="00F075F9" w:rsidRDefault="00F2618D" w:rsidP="001F6203">
      <w:pPr>
        <w:jc w:val="both"/>
      </w:pPr>
    </w:p>
    <w:tbl>
      <w:tblPr>
        <w:tblStyle w:val="Grilledutableau"/>
        <w:tblW w:w="9811" w:type="dxa"/>
        <w:tblLook w:val="04A0" w:firstRow="1" w:lastRow="0" w:firstColumn="1" w:lastColumn="0" w:noHBand="0" w:noVBand="1"/>
      </w:tblPr>
      <w:tblGrid>
        <w:gridCol w:w="1651"/>
        <w:gridCol w:w="745"/>
        <w:gridCol w:w="745"/>
        <w:gridCol w:w="745"/>
        <w:gridCol w:w="683"/>
        <w:gridCol w:w="614"/>
        <w:gridCol w:w="954"/>
        <w:gridCol w:w="706"/>
        <w:gridCol w:w="708"/>
        <w:gridCol w:w="936"/>
        <w:gridCol w:w="1324"/>
      </w:tblGrid>
      <w:tr w:rsidR="001F3F35" w:rsidRPr="00F075F9" w14:paraId="5A898D91" w14:textId="77777777" w:rsidTr="002914FE">
        <w:trPr>
          <w:trHeight w:val="487"/>
        </w:trPr>
        <w:tc>
          <w:tcPr>
            <w:tcW w:w="1651" w:type="dxa"/>
            <w:vMerge w:val="restart"/>
          </w:tcPr>
          <w:p w14:paraId="5B6C5634" w14:textId="77777777" w:rsidR="001F3F35" w:rsidRPr="00F075F9" w:rsidRDefault="001F3F35"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Indicateur</w:t>
            </w:r>
          </w:p>
        </w:tc>
        <w:tc>
          <w:tcPr>
            <w:tcW w:w="2235" w:type="dxa"/>
            <w:gridSpan w:val="3"/>
            <w:shd w:val="clear" w:color="auto" w:fill="BEBEBE"/>
          </w:tcPr>
          <w:p w14:paraId="6633FEE7" w14:textId="77777777" w:rsidR="001F3F35" w:rsidRPr="00F075F9" w:rsidRDefault="001F3F35" w:rsidP="002914FE">
            <w:pPr>
              <w:pStyle w:val="Paragraphedeliste"/>
              <w:ind w:left="0"/>
              <w:jc w:val="center"/>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 xml:space="preserve">Résultat </w:t>
            </w:r>
          </w:p>
        </w:tc>
        <w:tc>
          <w:tcPr>
            <w:tcW w:w="2251" w:type="dxa"/>
            <w:gridSpan w:val="3"/>
            <w:tcBorders>
              <w:bottom w:val="single" w:sz="4" w:space="0" w:color="auto"/>
            </w:tcBorders>
            <w:shd w:val="clear" w:color="auto" w:fill="BEBEBE"/>
            <w:vAlign w:val="center"/>
          </w:tcPr>
          <w:p w14:paraId="73C6C0FA" w14:textId="77777777" w:rsidR="001F3F35" w:rsidRPr="00F075F9" w:rsidRDefault="001F3F35"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674" w:type="dxa"/>
            <w:gridSpan w:val="4"/>
            <w:tcBorders>
              <w:bottom w:val="single" w:sz="4" w:space="0" w:color="auto"/>
            </w:tcBorders>
            <w:shd w:val="clear" w:color="auto" w:fill="83CAEB" w:themeFill="accent1" w:themeFillTint="66"/>
            <w:vAlign w:val="center"/>
          </w:tcPr>
          <w:p w14:paraId="2AE62797" w14:textId="77777777" w:rsidR="001F3F35" w:rsidRPr="00F075F9" w:rsidRDefault="001F3F35"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Résultats S1 2025</w:t>
            </w:r>
          </w:p>
        </w:tc>
      </w:tr>
      <w:tr w:rsidR="001F3F35" w:rsidRPr="00F075F9" w14:paraId="1C16B892" w14:textId="77777777" w:rsidTr="002914FE">
        <w:trPr>
          <w:trHeight w:val="143"/>
        </w:trPr>
        <w:tc>
          <w:tcPr>
            <w:tcW w:w="1651" w:type="dxa"/>
            <w:vMerge/>
          </w:tcPr>
          <w:p w14:paraId="6A08D8FA" w14:textId="77777777" w:rsidR="001F3F35" w:rsidRPr="00F075F9" w:rsidRDefault="001F3F35" w:rsidP="002914FE">
            <w:pPr>
              <w:pStyle w:val="Paragraphedeliste"/>
              <w:ind w:left="0"/>
              <w:jc w:val="both"/>
            </w:pPr>
          </w:p>
        </w:tc>
        <w:tc>
          <w:tcPr>
            <w:tcW w:w="745" w:type="dxa"/>
          </w:tcPr>
          <w:p w14:paraId="7078DED6" w14:textId="77777777" w:rsidR="001F3F35" w:rsidRPr="00F075F9" w:rsidRDefault="001F3F35"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T4 2024</w:t>
            </w:r>
          </w:p>
        </w:tc>
        <w:tc>
          <w:tcPr>
            <w:tcW w:w="745" w:type="dxa"/>
            <w:tcBorders>
              <w:top w:val="single" w:sz="4" w:space="0" w:color="auto"/>
            </w:tcBorders>
          </w:tcPr>
          <w:p w14:paraId="6809A6C9" w14:textId="77777777" w:rsidR="001F3F35" w:rsidRPr="00F075F9" w:rsidRDefault="001F3F35"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T1 2025</w:t>
            </w:r>
          </w:p>
        </w:tc>
        <w:tc>
          <w:tcPr>
            <w:tcW w:w="745" w:type="dxa"/>
            <w:tcBorders>
              <w:top w:val="single" w:sz="4" w:space="0" w:color="auto"/>
            </w:tcBorders>
          </w:tcPr>
          <w:p w14:paraId="55504E5A" w14:textId="77777777" w:rsidR="001F3F35" w:rsidRPr="00F075F9" w:rsidRDefault="001F3F35" w:rsidP="002914FE">
            <w:pPr>
              <w:pStyle w:val="Paragraphedeliste"/>
              <w:ind w:left="0"/>
              <w:jc w:val="both"/>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T2 2025</w:t>
            </w:r>
          </w:p>
        </w:tc>
        <w:tc>
          <w:tcPr>
            <w:tcW w:w="683" w:type="dxa"/>
            <w:tcBorders>
              <w:top w:val="single" w:sz="4" w:space="0" w:color="auto"/>
            </w:tcBorders>
            <w:shd w:val="clear" w:color="auto" w:fill="BEBEBE"/>
            <w:vAlign w:val="center"/>
          </w:tcPr>
          <w:p w14:paraId="04DAAAAA" w14:textId="77777777" w:rsidR="001F3F35" w:rsidRPr="00F075F9" w:rsidRDefault="001F3F35"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614" w:type="dxa"/>
            <w:tcBorders>
              <w:top w:val="single" w:sz="4" w:space="0" w:color="auto"/>
            </w:tcBorders>
            <w:shd w:val="clear" w:color="auto" w:fill="BEBEBE"/>
            <w:vAlign w:val="center"/>
          </w:tcPr>
          <w:p w14:paraId="53D1F8AC" w14:textId="77777777" w:rsidR="001F3F35" w:rsidRPr="00F075F9" w:rsidRDefault="001F3F35"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54" w:type="dxa"/>
            <w:tcBorders>
              <w:top w:val="single" w:sz="4" w:space="0" w:color="auto"/>
            </w:tcBorders>
            <w:shd w:val="clear" w:color="auto" w:fill="BEBEBE"/>
            <w:vAlign w:val="center"/>
          </w:tcPr>
          <w:p w14:paraId="393DD22D" w14:textId="77777777" w:rsidR="001F3F35" w:rsidRPr="00F075F9" w:rsidRDefault="001F3F35"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Cible (%)</w:t>
            </w:r>
          </w:p>
        </w:tc>
        <w:tc>
          <w:tcPr>
            <w:tcW w:w="706" w:type="dxa"/>
            <w:tcBorders>
              <w:top w:val="single" w:sz="4" w:space="0" w:color="auto"/>
            </w:tcBorders>
            <w:shd w:val="clear" w:color="auto" w:fill="83CAEB" w:themeFill="accent1" w:themeFillTint="66"/>
            <w:vAlign w:val="center"/>
          </w:tcPr>
          <w:p w14:paraId="13B4CD36" w14:textId="77777777" w:rsidR="001F3F35" w:rsidRPr="00F075F9" w:rsidRDefault="001F3F35"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08" w:type="dxa"/>
            <w:tcBorders>
              <w:top w:val="single" w:sz="4" w:space="0" w:color="auto"/>
            </w:tcBorders>
            <w:shd w:val="clear" w:color="auto" w:fill="83CAEB" w:themeFill="accent1" w:themeFillTint="66"/>
            <w:vAlign w:val="center"/>
          </w:tcPr>
          <w:p w14:paraId="1A314153" w14:textId="77777777" w:rsidR="001F3F35" w:rsidRPr="00F075F9" w:rsidRDefault="001F3F35"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36" w:type="dxa"/>
            <w:tcBorders>
              <w:top w:val="single" w:sz="4" w:space="0" w:color="auto"/>
            </w:tcBorders>
            <w:shd w:val="clear" w:color="auto" w:fill="83CAEB" w:themeFill="accent1" w:themeFillTint="66"/>
            <w:vAlign w:val="center"/>
          </w:tcPr>
          <w:p w14:paraId="6EA3C32C" w14:textId="77777777" w:rsidR="001F3F35" w:rsidRPr="00F075F9" w:rsidRDefault="001F3F35"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Résultat (%)</w:t>
            </w:r>
          </w:p>
        </w:tc>
        <w:tc>
          <w:tcPr>
            <w:tcW w:w="1324" w:type="dxa"/>
            <w:tcBorders>
              <w:top w:val="single" w:sz="4" w:space="0" w:color="auto"/>
            </w:tcBorders>
            <w:shd w:val="clear" w:color="auto" w:fill="83CAEB" w:themeFill="accent1" w:themeFillTint="66"/>
            <w:vAlign w:val="center"/>
          </w:tcPr>
          <w:p w14:paraId="1B836DC4" w14:textId="77777777" w:rsidR="001F3F35" w:rsidRPr="00F075F9" w:rsidRDefault="001F3F35"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1F3F35" w:rsidRPr="00F075F9" w14:paraId="0C0A74EA" w14:textId="77777777" w:rsidTr="002914FE">
        <w:trPr>
          <w:trHeight w:val="2252"/>
        </w:trPr>
        <w:tc>
          <w:tcPr>
            <w:tcW w:w="1651" w:type="dxa"/>
            <w:shd w:val="clear" w:color="auto" w:fill="E9E9E9"/>
            <w:vAlign w:val="center"/>
          </w:tcPr>
          <w:p w14:paraId="2EB36DA4" w14:textId="77777777" w:rsidR="001F3F35" w:rsidRPr="00F075F9" w:rsidRDefault="001F3F35" w:rsidP="002914FE">
            <w:pPr>
              <w:rPr>
                <w:rFonts w:cs="Calibri"/>
                <w:b/>
                <w:bCs/>
                <w:color w:val="000000"/>
              </w:rPr>
            </w:pPr>
            <w:r w:rsidRPr="00F075F9">
              <w:rPr>
                <w:rFonts w:cs="Calibri"/>
                <w:b/>
                <w:bCs/>
                <w:color w:val="000000"/>
              </w:rPr>
              <w:t>DRTB-3 Pourcentage de personnes atteintes de TB-RR et/ou de TB-MR confirmée qui ont commencé un traitement de deuxième intention</w:t>
            </w:r>
          </w:p>
          <w:p w14:paraId="3481F3B0" w14:textId="77777777" w:rsidR="001F3F35" w:rsidRPr="00F075F9" w:rsidRDefault="001F3F35" w:rsidP="002914FE">
            <w:pPr>
              <w:pStyle w:val="Paragraphedeliste"/>
              <w:ind w:left="0"/>
            </w:pPr>
          </w:p>
        </w:tc>
        <w:tc>
          <w:tcPr>
            <w:tcW w:w="745" w:type="dxa"/>
            <w:tcBorders>
              <w:top w:val="single" w:sz="4" w:space="0" w:color="auto"/>
              <w:left w:val="nil"/>
              <w:bottom w:val="single" w:sz="4" w:space="0" w:color="auto"/>
              <w:right w:val="single" w:sz="4" w:space="0" w:color="auto"/>
            </w:tcBorders>
            <w:vAlign w:val="center"/>
          </w:tcPr>
          <w:p w14:paraId="786E68DF" w14:textId="77777777" w:rsidR="001F3F35" w:rsidRPr="00F075F9" w:rsidRDefault="001F3F35" w:rsidP="002914FE">
            <w:pPr>
              <w:pStyle w:val="Paragraphedeliste"/>
              <w:ind w:left="0"/>
            </w:pPr>
            <w:r w:rsidRPr="00F075F9">
              <w:rPr>
                <w:rFonts w:ascii="Aptos Display" w:hAnsi="Aptos Display" w:cs="Calibri"/>
                <w:color w:val="000000"/>
                <w:sz w:val="20"/>
                <w:szCs w:val="20"/>
              </w:rPr>
              <w:t>83,0%</w:t>
            </w:r>
          </w:p>
        </w:tc>
        <w:tc>
          <w:tcPr>
            <w:tcW w:w="745" w:type="dxa"/>
            <w:tcBorders>
              <w:top w:val="single" w:sz="4" w:space="0" w:color="auto"/>
              <w:left w:val="nil"/>
              <w:bottom w:val="single" w:sz="4" w:space="0" w:color="auto"/>
              <w:right w:val="single" w:sz="4" w:space="0" w:color="auto"/>
            </w:tcBorders>
          </w:tcPr>
          <w:p w14:paraId="3EBA2D38" w14:textId="77777777" w:rsidR="001F3F35" w:rsidRPr="00F075F9" w:rsidRDefault="001F3F35" w:rsidP="002914FE">
            <w:pPr>
              <w:pStyle w:val="Paragraphedeliste"/>
              <w:ind w:left="0"/>
              <w:jc w:val="both"/>
              <w:rPr>
                <w:rFonts w:ascii="Aptos Display" w:hAnsi="Aptos Display" w:cs="Calibri"/>
                <w:color w:val="000000"/>
                <w:sz w:val="20"/>
                <w:szCs w:val="20"/>
              </w:rPr>
            </w:pPr>
          </w:p>
          <w:p w14:paraId="0765A114" w14:textId="77777777" w:rsidR="001F3F35" w:rsidRPr="00F075F9" w:rsidRDefault="001F3F35" w:rsidP="002914FE">
            <w:pPr>
              <w:pStyle w:val="Paragraphedeliste"/>
              <w:ind w:left="0"/>
              <w:jc w:val="both"/>
              <w:rPr>
                <w:rFonts w:ascii="Aptos Display" w:hAnsi="Aptos Display" w:cs="Calibri"/>
                <w:color w:val="000000"/>
                <w:sz w:val="20"/>
                <w:szCs w:val="20"/>
              </w:rPr>
            </w:pPr>
          </w:p>
          <w:p w14:paraId="60E126AC" w14:textId="77777777" w:rsidR="001F3F35" w:rsidRPr="00F075F9" w:rsidRDefault="001F3F35" w:rsidP="002914FE">
            <w:pPr>
              <w:pStyle w:val="Paragraphedeliste"/>
              <w:ind w:left="0"/>
              <w:jc w:val="both"/>
              <w:rPr>
                <w:rFonts w:ascii="Aptos Display" w:hAnsi="Aptos Display" w:cs="Calibri"/>
                <w:color w:val="000000"/>
                <w:sz w:val="20"/>
                <w:szCs w:val="20"/>
              </w:rPr>
            </w:pPr>
          </w:p>
          <w:p w14:paraId="38958D58" w14:textId="77777777" w:rsidR="001F3F35" w:rsidRPr="00F075F9" w:rsidRDefault="001F3F35" w:rsidP="002914FE">
            <w:pPr>
              <w:pStyle w:val="Paragraphedeliste"/>
              <w:ind w:left="0"/>
              <w:jc w:val="both"/>
              <w:rPr>
                <w:rFonts w:ascii="Aptos Display" w:hAnsi="Aptos Display" w:cs="Calibri"/>
                <w:color w:val="000000"/>
                <w:sz w:val="20"/>
                <w:szCs w:val="20"/>
              </w:rPr>
            </w:pPr>
          </w:p>
          <w:p w14:paraId="5C5C4248" w14:textId="77777777" w:rsidR="001F3F35" w:rsidRPr="00F075F9" w:rsidRDefault="001F3F35" w:rsidP="002914FE">
            <w:pPr>
              <w:pStyle w:val="Paragraphedeliste"/>
              <w:ind w:left="0"/>
              <w:jc w:val="both"/>
              <w:rPr>
                <w:rFonts w:ascii="Aptos Display" w:hAnsi="Aptos Display" w:cs="Calibri"/>
                <w:color w:val="000000"/>
                <w:sz w:val="20"/>
                <w:szCs w:val="20"/>
              </w:rPr>
            </w:pPr>
          </w:p>
          <w:p w14:paraId="5A67B1C6" w14:textId="77777777" w:rsidR="001F3F35" w:rsidRPr="00F075F9" w:rsidRDefault="001F3F35" w:rsidP="002914FE">
            <w:pPr>
              <w:pStyle w:val="Paragraphedeliste"/>
              <w:ind w:left="0"/>
              <w:jc w:val="both"/>
              <w:rPr>
                <w:rFonts w:ascii="Aptos Display" w:hAnsi="Aptos Display" w:cs="Calibri"/>
                <w:color w:val="000000"/>
                <w:sz w:val="20"/>
                <w:szCs w:val="20"/>
              </w:rPr>
            </w:pPr>
          </w:p>
          <w:p w14:paraId="571BEF2A" w14:textId="77777777" w:rsidR="001F3F35" w:rsidRPr="00F075F9" w:rsidRDefault="001F3F35" w:rsidP="002914FE">
            <w:pPr>
              <w:pStyle w:val="Paragraphedeliste"/>
              <w:ind w:left="0"/>
              <w:jc w:val="both"/>
              <w:rPr>
                <w:rFonts w:ascii="Aptos Display" w:hAnsi="Aptos Display" w:cs="Calibri"/>
                <w:color w:val="000000"/>
                <w:sz w:val="20"/>
                <w:szCs w:val="20"/>
              </w:rPr>
            </w:pPr>
          </w:p>
          <w:p w14:paraId="65B31039" w14:textId="77777777" w:rsidR="001F3F35" w:rsidRPr="00F075F9" w:rsidRDefault="001F3F35"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85,4%</w:t>
            </w:r>
          </w:p>
        </w:tc>
        <w:tc>
          <w:tcPr>
            <w:tcW w:w="745" w:type="dxa"/>
            <w:tcBorders>
              <w:top w:val="single" w:sz="4" w:space="0" w:color="auto"/>
              <w:left w:val="single" w:sz="4" w:space="0" w:color="auto"/>
              <w:bottom w:val="single" w:sz="4" w:space="0" w:color="auto"/>
              <w:right w:val="single" w:sz="4" w:space="0" w:color="auto"/>
            </w:tcBorders>
          </w:tcPr>
          <w:p w14:paraId="21823F1D" w14:textId="77777777" w:rsidR="001F3F35" w:rsidRPr="00F075F9" w:rsidRDefault="001F3F35" w:rsidP="002914FE">
            <w:pPr>
              <w:pStyle w:val="Paragraphedeliste"/>
              <w:ind w:left="0"/>
              <w:jc w:val="both"/>
              <w:rPr>
                <w:rFonts w:ascii="Aptos Display" w:hAnsi="Aptos Display" w:cs="Calibri"/>
                <w:color w:val="000000"/>
                <w:sz w:val="20"/>
                <w:szCs w:val="20"/>
              </w:rPr>
            </w:pPr>
          </w:p>
          <w:p w14:paraId="1CBBFE4C" w14:textId="77777777" w:rsidR="001F3F35" w:rsidRPr="00F075F9" w:rsidRDefault="001F3F35" w:rsidP="002914FE">
            <w:pPr>
              <w:pStyle w:val="Paragraphedeliste"/>
              <w:ind w:left="0"/>
              <w:jc w:val="both"/>
              <w:rPr>
                <w:rFonts w:ascii="Aptos Display" w:hAnsi="Aptos Display" w:cs="Calibri"/>
                <w:color w:val="000000"/>
                <w:sz w:val="20"/>
                <w:szCs w:val="20"/>
              </w:rPr>
            </w:pPr>
          </w:p>
          <w:p w14:paraId="73177D60" w14:textId="77777777" w:rsidR="001F3F35" w:rsidRPr="00F075F9" w:rsidRDefault="001F3F35" w:rsidP="002914FE">
            <w:pPr>
              <w:pStyle w:val="Paragraphedeliste"/>
              <w:ind w:left="0"/>
              <w:jc w:val="both"/>
              <w:rPr>
                <w:rFonts w:ascii="Aptos Display" w:hAnsi="Aptos Display" w:cs="Calibri"/>
                <w:color w:val="000000"/>
                <w:sz w:val="20"/>
                <w:szCs w:val="20"/>
              </w:rPr>
            </w:pPr>
          </w:p>
          <w:p w14:paraId="6731CEEC" w14:textId="77777777" w:rsidR="001F3F35" w:rsidRPr="00F075F9" w:rsidRDefault="001F3F35" w:rsidP="002914FE">
            <w:pPr>
              <w:pStyle w:val="Paragraphedeliste"/>
              <w:ind w:left="0"/>
              <w:jc w:val="both"/>
              <w:rPr>
                <w:rFonts w:ascii="Aptos Display" w:hAnsi="Aptos Display" w:cs="Calibri"/>
                <w:color w:val="000000"/>
                <w:sz w:val="20"/>
                <w:szCs w:val="20"/>
              </w:rPr>
            </w:pPr>
          </w:p>
          <w:p w14:paraId="7CDC2818" w14:textId="77777777" w:rsidR="001F3F35" w:rsidRPr="00F075F9" w:rsidRDefault="001F3F35" w:rsidP="002914FE">
            <w:pPr>
              <w:pStyle w:val="Paragraphedeliste"/>
              <w:ind w:left="0"/>
              <w:jc w:val="both"/>
              <w:rPr>
                <w:rFonts w:ascii="Aptos Display" w:hAnsi="Aptos Display" w:cs="Calibri"/>
                <w:color w:val="000000"/>
                <w:sz w:val="20"/>
                <w:szCs w:val="20"/>
              </w:rPr>
            </w:pPr>
          </w:p>
          <w:p w14:paraId="24FB244B" w14:textId="77777777" w:rsidR="001F3F35" w:rsidRPr="00F075F9" w:rsidRDefault="001F3F35" w:rsidP="002914FE">
            <w:pPr>
              <w:pStyle w:val="Paragraphedeliste"/>
              <w:ind w:left="0"/>
              <w:jc w:val="both"/>
              <w:rPr>
                <w:rFonts w:ascii="Aptos Display" w:hAnsi="Aptos Display" w:cs="Calibri"/>
                <w:color w:val="000000"/>
                <w:sz w:val="20"/>
                <w:szCs w:val="20"/>
              </w:rPr>
            </w:pPr>
          </w:p>
          <w:p w14:paraId="51AC2996" w14:textId="77777777" w:rsidR="001F3F35" w:rsidRPr="00F075F9" w:rsidRDefault="001F3F35" w:rsidP="002914FE">
            <w:pPr>
              <w:pStyle w:val="Paragraphedeliste"/>
              <w:ind w:left="0"/>
              <w:jc w:val="both"/>
              <w:rPr>
                <w:rFonts w:ascii="Aptos Display" w:hAnsi="Aptos Display" w:cs="Calibri"/>
                <w:color w:val="000000"/>
                <w:sz w:val="20"/>
                <w:szCs w:val="20"/>
              </w:rPr>
            </w:pPr>
          </w:p>
          <w:p w14:paraId="54C43F40" w14:textId="77777777" w:rsidR="001F3F35" w:rsidRPr="00F075F9" w:rsidRDefault="001F3F35" w:rsidP="002914FE">
            <w:pPr>
              <w:pStyle w:val="Paragraphedeliste"/>
              <w:ind w:left="0"/>
              <w:jc w:val="both"/>
              <w:rPr>
                <w:rFonts w:ascii="Aptos Display" w:hAnsi="Aptos Display" w:cs="Calibri"/>
                <w:color w:val="000000"/>
                <w:sz w:val="20"/>
                <w:szCs w:val="20"/>
              </w:rPr>
            </w:pPr>
            <w:r w:rsidRPr="00F075F9">
              <w:rPr>
                <w:rFonts w:ascii="Aptos Display" w:hAnsi="Aptos Display" w:cs="Calibri"/>
                <w:color w:val="000000"/>
                <w:sz w:val="20"/>
                <w:szCs w:val="20"/>
              </w:rPr>
              <w:t>75,7%</w:t>
            </w:r>
          </w:p>
        </w:tc>
        <w:tc>
          <w:tcPr>
            <w:tcW w:w="683" w:type="dxa"/>
            <w:tcBorders>
              <w:top w:val="single" w:sz="4" w:space="0" w:color="auto"/>
              <w:left w:val="single" w:sz="4" w:space="0" w:color="auto"/>
              <w:bottom w:val="single" w:sz="4" w:space="0" w:color="auto"/>
              <w:right w:val="single" w:sz="4" w:space="0" w:color="auto"/>
            </w:tcBorders>
            <w:shd w:val="clear" w:color="000000" w:fill="E7E6E6"/>
            <w:vAlign w:val="center"/>
          </w:tcPr>
          <w:p w14:paraId="07BB5956" w14:textId="77777777" w:rsidR="001F3F35" w:rsidRPr="00F075F9" w:rsidRDefault="001F3F35" w:rsidP="002914FE">
            <w:pPr>
              <w:pStyle w:val="Paragraphedeliste"/>
              <w:ind w:left="0"/>
              <w:jc w:val="both"/>
            </w:pPr>
            <w:r w:rsidRPr="00F075F9">
              <w:rPr>
                <w:rFonts w:ascii="Aptos Display" w:hAnsi="Aptos Display" w:cs="Calibri"/>
                <w:color w:val="000000"/>
                <w:sz w:val="20"/>
                <w:szCs w:val="20"/>
              </w:rPr>
              <w:t> NA</w:t>
            </w:r>
          </w:p>
        </w:tc>
        <w:tc>
          <w:tcPr>
            <w:tcW w:w="614" w:type="dxa"/>
            <w:tcBorders>
              <w:top w:val="single" w:sz="4" w:space="0" w:color="auto"/>
              <w:left w:val="nil"/>
              <w:bottom w:val="single" w:sz="4" w:space="0" w:color="auto"/>
              <w:right w:val="single" w:sz="4" w:space="0" w:color="auto"/>
            </w:tcBorders>
            <w:shd w:val="clear" w:color="000000" w:fill="E7E6E6"/>
            <w:vAlign w:val="center"/>
          </w:tcPr>
          <w:p w14:paraId="395EFEFA" w14:textId="77777777" w:rsidR="001F3F35" w:rsidRPr="00F075F9" w:rsidRDefault="001F3F35" w:rsidP="002914FE">
            <w:pPr>
              <w:pStyle w:val="Paragraphedeliste"/>
              <w:ind w:left="0"/>
              <w:jc w:val="both"/>
            </w:pPr>
            <w:r w:rsidRPr="00F075F9">
              <w:rPr>
                <w:rFonts w:ascii="Aptos Display" w:hAnsi="Aptos Display" w:cs="Calibri"/>
                <w:color w:val="000000"/>
                <w:sz w:val="20"/>
                <w:szCs w:val="20"/>
              </w:rPr>
              <w:t> NA</w:t>
            </w:r>
          </w:p>
        </w:tc>
        <w:tc>
          <w:tcPr>
            <w:tcW w:w="954" w:type="dxa"/>
            <w:tcBorders>
              <w:top w:val="single" w:sz="4" w:space="0" w:color="auto"/>
              <w:left w:val="single" w:sz="4" w:space="0" w:color="auto"/>
              <w:bottom w:val="single" w:sz="4" w:space="0" w:color="auto"/>
              <w:right w:val="single" w:sz="4" w:space="0" w:color="auto"/>
            </w:tcBorders>
            <w:shd w:val="clear" w:color="000000" w:fill="E7E6E6"/>
            <w:vAlign w:val="center"/>
          </w:tcPr>
          <w:p w14:paraId="0C688248" w14:textId="77777777" w:rsidR="001F3F35" w:rsidRPr="00F075F9" w:rsidRDefault="001F3F35" w:rsidP="002914FE">
            <w:pPr>
              <w:pStyle w:val="Paragraphedeliste"/>
              <w:ind w:left="0"/>
              <w:jc w:val="both"/>
            </w:pPr>
            <w:r w:rsidRPr="00F075F9">
              <w:rPr>
                <w:rFonts w:ascii="Aptos Display" w:hAnsi="Aptos Display" w:cs="Calibri"/>
                <w:color w:val="000000"/>
                <w:sz w:val="20"/>
                <w:szCs w:val="20"/>
              </w:rPr>
              <w:t>100,00%</w:t>
            </w:r>
          </w:p>
        </w:tc>
        <w:tc>
          <w:tcPr>
            <w:tcW w:w="706" w:type="dxa"/>
            <w:tcBorders>
              <w:top w:val="single" w:sz="4" w:space="0" w:color="auto"/>
              <w:left w:val="nil"/>
              <w:bottom w:val="single" w:sz="4" w:space="0" w:color="auto"/>
              <w:right w:val="single" w:sz="4" w:space="0" w:color="auto"/>
            </w:tcBorders>
            <w:vAlign w:val="center"/>
          </w:tcPr>
          <w:p w14:paraId="205AC63F" w14:textId="77777777" w:rsidR="001F3F35" w:rsidRPr="00F075F9" w:rsidRDefault="001F3F35" w:rsidP="002914FE">
            <w:pPr>
              <w:pStyle w:val="Paragraphedeliste"/>
              <w:ind w:left="0"/>
              <w:jc w:val="both"/>
            </w:pPr>
            <w:r w:rsidRPr="00F075F9">
              <w:rPr>
                <w:rFonts w:ascii="Aptos Display" w:hAnsi="Aptos Display" w:cs="Calibri"/>
                <w:color w:val="000000"/>
                <w:sz w:val="20"/>
                <w:szCs w:val="20"/>
              </w:rPr>
              <w:t>585</w:t>
            </w:r>
          </w:p>
        </w:tc>
        <w:tc>
          <w:tcPr>
            <w:tcW w:w="708" w:type="dxa"/>
            <w:tcBorders>
              <w:top w:val="single" w:sz="4" w:space="0" w:color="auto"/>
              <w:left w:val="nil"/>
              <w:bottom w:val="single" w:sz="4" w:space="0" w:color="auto"/>
              <w:right w:val="single" w:sz="4" w:space="0" w:color="auto"/>
            </w:tcBorders>
            <w:vAlign w:val="center"/>
          </w:tcPr>
          <w:p w14:paraId="55741A4E" w14:textId="77777777" w:rsidR="001F3F35" w:rsidRPr="00F075F9" w:rsidRDefault="001F3F35" w:rsidP="002914FE">
            <w:pPr>
              <w:pStyle w:val="Paragraphedeliste"/>
              <w:ind w:left="0"/>
              <w:jc w:val="both"/>
            </w:pPr>
            <w:r w:rsidRPr="00F075F9">
              <w:rPr>
                <w:rFonts w:ascii="Aptos Display" w:hAnsi="Aptos Display" w:cs="Calibri"/>
                <w:color w:val="000000"/>
                <w:sz w:val="20"/>
                <w:szCs w:val="20"/>
              </w:rPr>
              <w:t>722</w:t>
            </w:r>
          </w:p>
        </w:tc>
        <w:tc>
          <w:tcPr>
            <w:tcW w:w="936" w:type="dxa"/>
            <w:tcBorders>
              <w:top w:val="single" w:sz="4" w:space="0" w:color="auto"/>
              <w:left w:val="nil"/>
              <w:bottom w:val="single" w:sz="4" w:space="0" w:color="auto"/>
              <w:right w:val="single" w:sz="4" w:space="0" w:color="auto"/>
            </w:tcBorders>
            <w:vAlign w:val="center"/>
          </w:tcPr>
          <w:p w14:paraId="6221FDBF" w14:textId="77777777" w:rsidR="001F3F35" w:rsidRPr="00F075F9" w:rsidRDefault="001F3F35" w:rsidP="002914FE">
            <w:pPr>
              <w:pStyle w:val="Paragraphedeliste"/>
              <w:ind w:left="0"/>
              <w:jc w:val="both"/>
            </w:pPr>
            <w:r w:rsidRPr="00F075F9">
              <w:rPr>
                <w:rFonts w:ascii="Aptos Display" w:hAnsi="Aptos Display" w:cs="Calibri"/>
                <w:color w:val="000000"/>
                <w:sz w:val="20"/>
                <w:szCs w:val="20"/>
              </w:rPr>
              <w:t>81,02%</w:t>
            </w:r>
          </w:p>
        </w:tc>
        <w:tc>
          <w:tcPr>
            <w:tcW w:w="1324" w:type="dxa"/>
            <w:tcBorders>
              <w:top w:val="single" w:sz="4" w:space="0" w:color="auto"/>
              <w:left w:val="single" w:sz="4" w:space="0" w:color="auto"/>
              <w:bottom w:val="single" w:sz="4" w:space="0" w:color="auto"/>
              <w:right w:val="single" w:sz="4" w:space="0" w:color="auto"/>
            </w:tcBorders>
            <w:shd w:val="clear" w:color="000000" w:fill="FFD966"/>
            <w:vAlign w:val="center"/>
          </w:tcPr>
          <w:p w14:paraId="4D10794E" w14:textId="77777777" w:rsidR="001F3F35" w:rsidRPr="00F075F9" w:rsidRDefault="001F3F35" w:rsidP="002914FE">
            <w:pPr>
              <w:pStyle w:val="Paragraphedeliste"/>
              <w:ind w:left="0"/>
              <w:jc w:val="both"/>
            </w:pPr>
            <w:r w:rsidRPr="00F075F9">
              <w:rPr>
                <w:rFonts w:ascii="Aptos Display" w:hAnsi="Aptos Display" w:cs="Calibri"/>
                <w:color w:val="000000"/>
                <w:sz w:val="20"/>
                <w:szCs w:val="20"/>
              </w:rPr>
              <w:t>81,02%</w:t>
            </w:r>
          </w:p>
        </w:tc>
      </w:tr>
    </w:tbl>
    <w:p w14:paraId="2F640ACE" w14:textId="798D3C2C" w:rsidR="001F6203" w:rsidRPr="00F075F9" w:rsidRDefault="001F6203" w:rsidP="001F6203">
      <w:pPr>
        <w:jc w:val="both"/>
      </w:pPr>
      <w:bookmarkStart w:id="11" w:name="_Hlk193062673"/>
      <w:bookmarkStart w:id="12" w:name="_Hlk193104619"/>
      <w:bookmarkEnd w:id="10"/>
      <w:r w:rsidRPr="00F075F9">
        <w:t>Source des données : Base des données PNLT RDC, janvier à juin 2025</w:t>
      </w:r>
    </w:p>
    <w:p w14:paraId="2BFF5DE6" w14:textId="77777777" w:rsidR="001F6203" w:rsidRPr="00F075F9" w:rsidRDefault="001F6203" w:rsidP="001F6203">
      <w:pPr>
        <w:jc w:val="both"/>
      </w:pPr>
    </w:p>
    <w:p w14:paraId="7EC20AF4" w14:textId="77777777" w:rsidR="001F6203" w:rsidRPr="00F075F9" w:rsidRDefault="001F6203" w:rsidP="001F6203">
      <w:pPr>
        <w:jc w:val="both"/>
        <w:rPr>
          <w:b/>
          <w:bCs/>
        </w:rPr>
      </w:pPr>
      <w:r w:rsidRPr="00F075F9">
        <w:rPr>
          <w:b/>
          <w:bCs/>
        </w:rPr>
        <w:t>Commentaires du PR sur le DRTB-3</w:t>
      </w:r>
    </w:p>
    <w:p w14:paraId="752B4100" w14:textId="77777777" w:rsidR="001F6203" w:rsidRPr="00F075F9" w:rsidRDefault="001F6203" w:rsidP="001F6203">
      <w:pPr>
        <w:jc w:val="both"/>
      </w:pPr>
      <w:r w:rsidRPr="00F075F9">
        <w:t xml:space="preserve">Au premier semestre 2025, 722 patients ont été diagnostiqués avec une tuberculose multirésistante (TB-MR), parmi lesquels, 585 (81%) ont effectivement commencé un traitement de deuxième intention, représentant une performance de 81% par rapport à la cible fixée à 100%. Ce taux de mise en traitement est en régression entre le premier trimestre (85,4%) et le deuxième trimestre 2025 (75,7%).  </w:t>
      </w:r>
    </w:p>
    <w:p w14:paraId="5E6B68D9" w14:textId="54833582" w:rsidR="00413A7D" w:rsidRPr="00F075F9" w:rsidRDefault="00F04B91" w:rsidP="001F6203">
      <w:pPr>
        <w:jc w:val="both"/>
      </w:pPr>
      <w:r w:rsidRPr="00F075F9">
        <w:t xml:space="preserve">Il s’agit </w:t>
      </w:r>
      <w:r w:rsidR="00CA20E2" w:rsidRPr="00F075F9">
        <w:t xml:space="preserve">d’une forte régression </w:t>
      </w:r>
      <w:r w:rsidR="009C3A40" w:rsidRPr="00F075F9">
        <w:t>à cause probablement d</w:t>
      </w:r>
      <w:r w:rsidR="00683E3B" w:rsidRPr="00F075F9">
        <w:t xml:space="preserve">u manque d’appui </w:t>
      </w:r>
      <w:r w:rsidR="004A00F0" w:rsidRPr="00F075F9">
        <w:t>en kit</w:t>
      </w:r>
      <w:r w:rsidR="001C57B9" w:rsidRPr="00F075F9">
        <w:t>s</w:t>
      </w:r>
      <w:r w:rsidR="004A00F0" w:rsidRPr="00F075F9">
        <w:t xml:space="preserve"> </w:t>
      </w:r>
      <w:r w:rsidR="00683E3B" w:rsidRPr="00F075F9">
        <w:t>nutritionnel</w:t>
      </w:r>
      <w:r w:rsidR="001C57B9" w:rsidRPr="00F075F9">
        <w:t>s</w:t>
      </w:r>
      <w:r w:rsidR="00683E3B" w:rsidRPr="00F075F9">
        <w:t xml:space="preserve"> et </w:t>
      </w:r>
      <w:r w:rsidR="0015621E" w:rsidRPr="00F075F9">
        <w:t xml:space="preserve">frais de transport </w:t>
      </w:r>
      <w:r w:rsidR="001C57B9" w:rsidRPr="00F075F9">
        <w:t xml:space="preserve">que bénéficiaient les </w:t>
      </w:r>
      <w:r w:rsidR="0015621E" w:rsidRPr="00F075F9">
        <w:t xml:space="preserve">patients </w:t>
      </w:r>
      <w:r w:rsidR="00803D00" w:rsidRPr="00F075F9">
        <w:t>diagnostiqués TB-MR</w:t>
      </w:r>
      <w:r w:rsidR="001C57B9" w:rsidRPr="00F075F9">
        <w:t>.</w:t>
      </w:r>
      <w:r w:rsidR="00C11A64" w:rsidRPr="00F075F9">
        <w:t xml:space="preserve"> En effet, ces activités ont été mises en pause par le FM depuis le deuxième trimestre 2025</w:t>
      </w:r>
      <w:r w:rsidR="005A4D84" w:rsidRPr="00F075F9">
        <w:t xml:space="preserve"> dans le contexte de la réduction des financements.</w:t>
      </w:r>
      <w:r w:rsidR="00C11A64" w:rsidRPr="00F075F9">
        <w:t xml:space="preserve"> </w:t>
      </w:r>
      <w:r w:rsidR="007850FA" w:rsidRPr="00F075F9">
        <w:t xml:space="preserve">Comme évoqué plus haut pour les intrants </w:t>
      </w:r>
      <w:r w:rsidR="00A757F7" w:rsidRPr="00F075F9">
        <w:t>contre la tuberculose, l</w:t>
      </w:r>
      <w:r w:rsidR="00DE15F6" w:rsidRPr="00F075F9">
        <w:t xml:space="preserve">’on pourrait </w:t>
      </w:r>
      <w:r w:rsidR="00A757F7" w:rsidRPr="00F075F9">
        <w:t>mentionner également l</w:t>
      </w:r>
      <w:r w:rsidR="00262F5C" w:rsidRPr="00F075F9">
        <w:t xml:space="preserve">’insuffisance de stocks en médicaments de deuxième ligne </w:t>
      </w:r>
      <w:r w:rsidR="001D7B88" w:rsidRPr="00F075F9">
        <w:t>au niveau national.</w:t>
      </w:r>
    </w:p>
    <w:p w14:paraId="1769A1B3" w14:textId="59A227DE" w:rsidR="001F6203" w:rsidRPr="00F075F9" w:rsidRDefault="001F6203" w:rsidP="001F6203">
      <w:pPr>
        <w:jc w:val="both"/>
      </w:pPr>
      <w:r w:rsidRPr="00F075F9">
        <w:t xml:space="preserve">Au total, 258 femmes et 464 hommes atteints de tuberculose multirésistante (TB-MR) ont été diagnostiqués. Parmi les femmes, 216 (83,7%) ont commencé un traitement, avec un taux élevé de 93% chez les patients de 0-14 ans et 83,2% chez les 15 ans et plus. Pour les hommes, 369 (79,5%) ont été traités, dont 86,7% des enfants (0-14 ans) et 79,3% des adultes. La prise en charge est globalement meilleure chez les femmes que chez les hommes dans toutes les tranches d’âge. La couverture des traitements chez les enfants </w:t>
      </w:r>
      <w:r w:rsidRPr="00F075F9">
        <w:lastRenderedPageBreak/>
        <w:t>(0-14 ans) est globalement élevée dans les deux sexes, dépassant 85%, ce qui est positif au regard de la vulnérabilité de cette population.</w:t>
      </w:r>
    </w:p>
    <w:p w14:paraId="4A6D1DE1" w14:textId="77777777" w:rsidR="001F6203" w:rsidRPr="00F075F9" w:rsidRDefault="001F6203" w:rsidP="001F6203">
      <w:pPr>
        <w:jc w:val="both"/>
      </w:pPr>
      <w:r w:rsidRPr="00F075F9">
        <w:t>La non-mise en traitement concerne 137 patients, dont 16 sont décédés avant le début du traitement et 12 ont été perdus de vue. Cette situation met en lumière plusieurs difficultés majeures dans la continuité des soins.</w:t>
      </w:r>
    </w:p>
    <w:p w14:paraId="57201003" w14:textId="77777777" w:rsidR="001F6203" w:rsidRPr="00F075F9" w:rsidRDefault="001F6203" w:rsidP="001F6203">
      <w:pPr>
        <w:jc w:val="both"/>
      </w:pPr>
      <w:r w:rsidRPr="00F075F9">
        <w:t>Les données ont été collectées via les rapports de 27 Coordinations Provinciales Lèpre Tuberculose (CPLT) couvrant les 26 provinces du pays, consolidés par le Programme National de Lutte contre la Tuberculose (PNLT) de la RDC, avec une complétude de 100% pour le semestre.</w:t>
      </w:r>
    </w:p>
    <w:p w14:paraId="041323AD" w14:textId="22071FCC" w:rsidR="001F6203" w:rsidRPr="00F075F9" w:rsidRDefault="001F6203" w:rsidP="001F6203">
      <w:pPr>
        <w:jc w:val="both"/>
      </w:pPr>
      <w:r w:rsidRPr="00F075F9">
        <w:t xml:space="preserve">Au niveau infranational, les provinces les plus performantes telles que </w:t>
      </w:r>
      <w:r w:rsidRPr="00F075F9">
        <w:rPr>
          <w:b/>
          <w:bCs/>
        </w:rPr>
        <w:t xml:space="preserve">Kinshasa (231 sur 244 patients), </w:t>
      </w:r>
      <w:proofErr w:type="spellStart"/>
      <w:r w:rsidRPr="00F075F9">
        <w:t>Kasai</w:t>
      </w:r>
      <w:proofErr w:type="spellEnd"/>
      <w:r w:rsidRPr="00F075F9">
        <w:t xml:space="preserve"> Oriental </w:t>
      </w:r>
      <w:r w:rsidRPr="00F075F9">
        <w:rPr>
          <w:b/>
          <w:bCs/>
        </w:rPr>
        <w:t>(69 sur 72 patients),</w:t>
      </w:r>
      <w:r w:rsidRPr="00F075F9">
        <w:t xml:space="preserve"> Kongo Central Ouest </w:t>
      </w:r>
      <w:r w:rsidRPr="00F075F9">
        <w:rPr>
          <w:b/>
          <w:bCs/>
        </w:rPr>
        <w:t>(51/53 patients)</w:t>
      </w:r>
      <w:r w:rsidRPr="00F075F9">
        <w:t xml:space="preserve"> et </w:t>
      </w:r>
      <w:r w:rsidRPr="00F075F9">
        <w:rPr>
          <w:b/>
          <w:bCs/>
        </w:rPr>
        <w:t>Sankuru (27/27 patients)</w:t>
      </w:r>
      <w:r w:rsidRPr="00F075F9">
        <w:t xml:space="preserve"> ont bénéficié d’une bonne disponibilité des médicaments de deuxième ligne et d’un engagement fort des autorités sanitaires et communautaires. En revanche, plusieurs provinces affichent des contre-performances liées principalement à la rupture des intrants </w:t>
      </w:r>
      <w:proofErr w:type="spellStart"/>
      <w:r w:rsidRPr="00F075F9">
        <w:t>anti-tuberculeux</w:t>
      </w:r>
      <w:proofErr w:type="spellEnd"/>
      <w:r w:rsidRPr="00F075F9">
        <w:t xml:space="preserve"> de deuxième ligne, notamment le</w:t>
      </w:r>
      <w:r w:rsidRPr="00F075F9">
        <w:rPr>
          <w:b/>
          <w:bCs/>
        </w:rPr>
        <w:t xml:space="preserve"> Haut-Uélé (0/17 patients</w:t>
      </w:r>
      <w:r w:rsidR="007F6408" w:rsidRPr="00F075F9">
        <w:rPr>
          <w:b/>
          <w:bCs/>
        </w:rPr>
        <w:t>),</w:t>
      </w:r>
      <w:r w:rsidR="007F6408" w:rsidRPr="00F075F9">
        <w:t xml:space="preserve"> Kwango</w:t>
      </w:r>
      <w:r w:rsidRPr="00F075F9">
        <w:t xml:space="preserve"> </w:t>
      </w:r>
      <w:r w:rsidRPr="00F075F9">
        <w:rPr>
          <w:b/>
          <w:bCs/>
        </w:rPr>
        <w:t>(4/13 patients),</w:t>
      </w:r>
      <w:r w:rsidRPr="00F075F9">
        <w:t xml:space="preserve"> </w:t>
      </w:r>
      <w:proofErr w:type="spellStart"/>
      <w:r w:rsidRPr="00F075F9">
        <w:rPr>
          <w:b/>
          <w:bCs/>
        </w:rPr>
        <w:t>Tshuapa</w:t>
      </w:r>
      <w:proofErr w:type="spellEnd"/>
      <w:r w:rsidRPr="00F075F9">
        <w:rPr>
          <w:b/>
          <w:bCs/>
        </w:rPr>
        <w:t xml:space="preserve"> </w:t>
      </w:r>
      <w:r w:rsidR="00D5167B" w:rsidRPr="00F075F9">
        <w:rPr>
          <w:b/>
          <w:bCs/>
        </w:rPr>
        <w:t>(0</w:t>
      </w:r>
      <w:r w:rsidRPr="00F075F9">
        <w:rPr>
          <w:b/>
          <w:bCs/>
        </w:rPr>
        <w:t xml:space="preserve">/5 patients), </w:t>
      </w:r>
      <w:proofErr w:type="spellStart"/>
      <w:r w:rsidRPr="00F075F9">
        <w:rPr>
          <w:b/>
          <w:bCs/>
        </w:rPr>
        <w:t>Mongala</w:t>
      </w:r>
      <w:proofErr w:type="spellEnd"/>
      <w:r w:rsidRPr="00F075F9">
        <w:rPr>
          <w:b/>
          <w:bCs/>
        </w:rPr>
        <w:t xml:space="preserve"> (0/4 patients)</w:t>
      </w:r>
      <w:r w:rsidRPr="00F075F9">
        <w:t xml:space="preserve">, et </w:t>
      </w:r>
      <w:r w:rsidRPr="00F075F9">
        <w:rPr>
          <w:b/>
          <w:bCs/>
        </w:rPr>
        <w:t>Maniema</w:t>
      </w:r>
      <w:bookmarkStart w:id="13" w:name="_Hlk205628182"/>
      <w:r w:rsidRPr="00F075F9">
        <w:rPr>
          <w:b/>
          <w:bCs/>
        </w:rPr>
        <w:t xml:space="preserve"> (0/4 patients),</w:t>
      </w:r>
      <w:r w:rsidRPr="00F075F9">
        <w:t xml:space="preserve"> </w:t>
      </w:r>
      <w:bookmarkEnd w:id="13"/>
      <w:r w:rsidRPr="00F075F9">
        <w:t>qui cumulent des taux très bas de mise sous traitement. Les décès avant traitement et les perdus de vue rappellent l’urgence d’assurer un accès rapide et systématique au traitement et un meilleur soutien aux patients.</w:t>
      </w:r>
    </w:p>
    <w:p w14:paraId="6D4C5C7E" w14:textId="7E4FC968" w:rsidR="001F6203" w:rsidRPr="00F075F9" w:rsidRDefault="001F6203" w:rsidP="001F6203">
      <w:pPr>
        <w:jc w:val="both"/>
      </w:pPr>
      <w:r w:rsidRPr="00F075F9">
        <w:t xml:space="preserve">Les actions prioritaires prises dès début juillet 2025 incluent l’approvisionnement en médicaments </w:t>
      </w:r>
      <w:r w:rsidR="00E764F6" w:rsidRPr="00F075F9">
        <w:t>antituberculeux</w:t>
      </w:r>
      <w:r w:rsidRPr="00F075F9">
        <w:t xml:space="preserve"> de deuxième ligne </w:t>
      </w:r>
      <w:r w:rsidR="00542276" w:rsidRPr="00F075F9">
        <w:t>au niveau national</w:t>
      </w:r>
      <w:r w:rsidR="00CA20E2" w:rsidRPr="00F075F9">
        <w:t>, ainsi</w:t>
      </w:r>
      <w:r w:rsidRPr="00F075F9">
        <w:t xml:space="preserve"> que la reprise de paiement de frais de transport des relais communautaires (RECO) pour la recherche de patients TB MR perdus de vue avant le traitement.</w:t>
      </w:r>
    </w:p>
    <w:p w14:paraId="258533E7" w14:textId="77777777" w:rsidR="001F6203" w:rsidRPr="00F075F9" w:rsidRDefault="001F6203" w:rsidP="001F6203">
      <w:pPr>
        <w:jc w:val="both"/>
      </w:pPr>
      <w:bookmarkStart w:id="14" w:name="_Hlk193465837"/>
      <w:bookmarkStart w:id="15" w:name="_Hlk193063608"/>
      <w:bookmarkEnd w:id="11"/>
      <w:bookmarkEnd w:id="12"/>
    </w:p>
    <w:p w14:paraId="0224EE94" w14:textId="77777777" w:rsidR="001F6203" w:rsidRPr="00F075F9" w:rsidRDefault="001F6203" w:rsidP="001F6203">
      <w:pPr>
        <w:jc w:val="both"/>
      </w:pPr>
    </w:p>
    <w:tbl>
      <w:tblPr>
        <w:tblStyle w:val="Grilledutableau"/>
        <w:tblW w:w="10430" w:type="dxa"/>
        <w:tblInd w:w="-289" w:type="dxa"/>
        <w:tblLook w:val="04A0" w:firstRow="1" w:lastRow="0" w:firstColumn="1" w:lastColumn="0" w:noHBand="0" w:noVBand="1"/>
      </w:tblPr>
      <w:tblGrid>
        <w:gridCol w:w="2310"/>
        <w:gridCol w:w="976"/>
        <w:gridCol w:w="1043"/>
        <w:gridCol w:w="770"/>
        <w:gridCol w:w="657"/>
        <w:gridCol w:w="849"/>
        <w:gridCol w:w="770"/>
        <w:gridCol w:w="755"/>
        <w:gridCol w:w="976"/>
        <w:gridCol w:w="1324"/>
      </w:tblGrid>
      <w:tr w:rsidR="001F6203" w:rsidRPr="00F075F9" w14:paraId="51F50474" w14:textId="77777777" w:rsidTr="002914FE">
        <w:trPr>
          <w:trHeight w:val="504"/>
        </w:trPr>
        <w:tc>
          <w:tcPr>
            <w:tcW w:w="2357" w:type="dxa"/>
            <w:vMerge w:val="restart"/>
          </w:tcPr>
          <w:p w14:paraId="5DE14615"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Indicateur</w:t>
            </w:r>
          </w:p>
        </w:tc>
        <w:tc>
          <w:tcPr>
            <w:tcW w:w="950" w:type="dxa"/>
            <w:vMerge w:val="restart"/>
            <w:shd w:val="clear" w:color="auto" w:fill="BEBEBE"/>
          </w:tcPr>
          <w:p w14:paraId="264A74D1" w14:textId="77777777" w:rsidR="001F6203" w:rsidRPr="00F075F9" w:rsidRDefault="001F6203" w:rsidP="002914FE">
            <w:pPr>
              <w:pStyle w:val="Paragraphedeliste"/>
              <w:ind w:left="0"/>
              <w:jc w:val="center"/>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Résultat S1 2024</w:t>
            </w:r>
          </w:p>
          <w:p w14:paraId="11703099" w14:textId="77777777" w:rsidR="001F6203" w:rsidRPr="00F075F9" w:rsidRDefault="001F6203"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(Cohorte 2021)</w:t>
            </w:r>
          </w:p>
        </w:tc>
        <w:tc>
          <w:tcPr>
            <w:tcW w:w="1049" w:type="dxa"/>
            <w:vMerge w:val="restart"/>
            <w:shd w:val="clear" w:color="auto" w:fill="BEBEBE"/>
          </w:tcPr>
          <w:p w14:paraId="180519AD" w14:textId="77777777" w:rsidR="001F6203" w:rsidRPr="00F075F9" w:rsidRDefault="001F6203" w:rsidP="002914FE">
            <w:pPr>
              <w:pStyle w:val="Paragraphedeliste"/>
              <w:ind w:left="0"/>
              <w:jc w:val="center"/>
              <w:rPr>
                <w:rFonts w:asciiTheme="majorHAnsi" w:eastAsia="Times New Roman" w:hAnsiTheme="majorHAnsi" w:cs="Segoe UI"/>
                <w:b/>
                <w:bCs/>
                <w:color w:val="000000"/>
                <w:kern w:val="24"/>
                <w:sz w:val="20"/>
                <w:szCs w:val="20"/>
                <w:lang w:eastAsia="fr-CD"/>
                <w14:ligatures w14:val="none"/>
              </w:rPr>
            </w:pPr>
            <w:r w:rsidRPr="00F075F9">
              <w:rPr>
                <w:rFonts w:asciiTheme="majorHAnsi" w:eastAsia="Times New Roman" w:hAnsiTheme="majorHAnsi" w:cs="Segoe UI"/>
                <w:b/>
                <w:bCs/>
                <w:color w:val="000000"/>
                <w:kern w:val="24"/>
                <w:sz w:val="20"/>
                <w:szCs w:val="20"/>
                <w:lang w:eastAsia="fr-CD"/>
                <w14:ligatures w14:val="none"/>
              </w:rPr>
              <w:t>Résultat T4 2024</w:t>
            </w:r>
          </w:p>
          <w:p w14:paraId="16B6CF40" w14:textId="77777777" w:rsidR="001F6203" w:rsidRPr="00F075F9" w:rsidRDefault="001F6203"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(Cohorte 2022)</w:t>
            </w:r>
          </w:p>
        </w:tc>
        <w:tc>
          <w:tcPr>
            <w:tcW w:w="2261" w:type="dxa"/>
            <w:gridSpan w:val="3"/>
            <w:shd w:val="clear" w:color="auto" w:fill="BEBEBE"/>
            <w:vAlign w:val="center"/>
          </w:tcPr>
          <w:p w14:paraId="7E399613"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813" w:type="dxa"/>
            <w:gridSpan w:val="4"/>
            <w:shd w:val="clear" w:color="auto" w:fill="83CAEB" w:themeFill="accent1" w:themeFillTint="66"/>
            <w:vAlign w:val="center"/>
          </w:tcPr>
          <w:p w14:paraId="023F5037"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S1 2025</w:t>
            </w:r>
          </w:p>
        </w:tc>
      </w:tr>
      <w:tr w:rsidR="001F6203" w:rsidRPr="00F075F9" w14:paraId="5B7752E7" w14:textId="77777777" w:rsidTr="002914FE">
        <w:trPr>
          <w:trHeight w:val="148"/>
        </w:trPr>
        <w:tc>
          <w:tcPr>
            <w:tcW w:w="2357" w:type="dxa"/>
            <w:vMerge/>
          </w:tcPr>
          <w:p w14:paraId="3FB8B201" w14:textId="77777777" w:rsidR="001F6203" w:rsidRPr="00F075F9" w:rsidRDefault="001F6203" w:rsidP="002914FE">
            <w:pPr>
              <w:pStyle w:val="Paragraphedeliste"/>
              <w:ind w:left="0"/>
              <w:jc w:val="both"/>
            </w:pPr>
          </w:p>
        </w:tc>
        <w:tc>
          <w:tcPr>
            <w:tcW w:w="950" w:type="dxa"/>
            <w:vMerge/>
          </w:tcPr>
          <w:p w14:paraId="2B91B55E" w14:textId="77777777" w:rsidR="001F6203" w:rsidRPr="00F075F9" w:rsidRDefault="001F6203" w:rsidP="002914FE">
            <w:pPr>
              <w:pStyle w:val="Paragraphedeliste"/>
              <w:ind w:left="0"/>
              <w:jc w:val="center"/>
            </w:pPr>
          </w:p>
        </w:tc>
        <w:tc>
          <w:tcPr>
            <w:tcW w:w="1049" w:type="dxa"/>
            <w:vMerge/>
          </w:tcPr>
          <w:p w14:paraId="0FE7AB4C" w14:textId="77777777" w:rsidR="001F6203" w:rsidRPr="00F075F9" w:rsidRDefault="001F6203" w:rsidP="002914FE">
            <w:pPr>
              <w:pStyle w:val="Paragraphedeliste"/>
              <w:ind w:left="0"/>
              <w:jc w:val="center"/>
            </w:pPr>
          </w:p>
        </w:tc>
        <w:tc>
          <w:tcPr>
            <w:tcW w:w="777" w:type="dxa"/>
            <w:shd w:val="clear" w:color="auto" w:fill="BEBEBE"/>
            <w:vAlign w:val="center"/>
          </w:tcPr>
          <w:p w14:paraId="45A33569"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661" w:type="dxa"/>
            <w:shd w:val="clear" w:color="auto" w:fill="BEBEBE"/>
            <w:vAlign w:val="center"/>
          </w:tcPr>
          <w:p w14:paraId="2144DCD5"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22" w:type="dxa"/>
            <w:shd w:val="clear" w:color="auto" w:fill="BEBEBE"/>
            <w:vAlign w:val="center"/>
          </w:tcPr>
          <w:p w14:paraId="69D88921"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777" w:type="dxa"/>
            <w:shd w:val="clear" w:color="auto" w:fill="83CAEB" w:themeFill="accent1" w:themeFillTint="66"/>
            <w:vAlign w:val="center"/>
          </w:tcPr>
          <w:p w14:paraId="3311A835"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765" w:type="dxa"/>
            <w:shd w:val="clear" w:color="auto" w:fill="83CAEB" w:themeFill="accent1" w:themeFillTint="66"/>
            <w:vAlign w:val="center"/>
          </w:tcPr>
          <w:p w14:paraId="476EBE56"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987" w:type="dxa"/>
            <w:shd w:val="clear" w:color="auto" w:fill="83CAEB" w:themeFill="accent1" w:themeFillTint="66"/>
            <w:vAlign w:val="center"/>
          </w:tcPr>
          <w:p w14:paraId="7E88D536"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1282" w:type="dxa"/>
            <w:shd w:val="clear" w:color="auto" w:fill="83CAEB" w:themeFill="accent1" w:themeFillTint="66"/>
            <w:vAlign w:val="center"/>
          </w:tcPr>
          <w:p w14:paraId="62686F01"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1F6203" w:rsidRPr="00F075F9" w14:paraId="2AAE7A5C" w14:textId="77777777" w:rsidTr="002914FE">
        <w:trPr>
          <w:trHeight w:val="2328"/>
        </w:trPr>
        <w:tc>
          <w:tcPr>
            <w:tcW w:w="2357" w:type="dxa"/>
            <w:shd w:val="clear" w:color="auto" w:fill="E9E9E9"/>
            <w:vAlign w:val="center"/>
          </w:tcPr>
          <w:p w14:paraId="0BB44415" w14:textId="77777777" w:rsidR="001F6203" w:rsidRPr="00F075F9" w:rsidRDefault="001F6203" w:rsidP="002914FE">
            <w:pPr>
              <w:pStyle w:val="Paragraphedeliste"/>
              <w:ind w:left="0"/>
            </w:pPr>
            <w:r w:rsidRPr="00F075F9">
              <w:rPr>
                <w:rFonts w:cs="Calibri"/>
                <w:b/>
                <w:bCs/>
                <w:color w:val="000000"/>
              </w:rPr>
              <w:t>DRTB-9 Taux de succès thérapeutique pour la TB-RR et/ou TB-</w:t>
            </w:r>
            <w:proofErr w:type="gramStart"/>
            <w:r w:rsidRPr="00F075F9">
              <w:rPr>
                <w:rFonts w:cs="Calibri"/>
                <w:b/>
                <w:bCs/>
                <w:color w:val="000000"/>
              </w:rPr>
              <w:t>MR:</w:t>
            </w:r>
            <w:proofErr w:type="gramEnd"/>
            <w:r w:rsidRPr="00F075F9">
              <w:rPr>
                <w:rFonts w:cs="Calibri"/>
                <w:b/>
                <w:bCs/>
                <w:color w:val="000000"/>
              </w:rPr>
              <w:t xml:space="preserve"> pourcentage de patients TB-RR et /ou TB-MR traités avec succès </w:t>
            </w:r>
          </w:p>
        </w:tc>
        <w:tc>
          <w:tcPr>
            <w:tcW w:w="950" w:type="dxa"/>
            <w:tcBorders>
              <w:top w:val="single" w:sz="4" w:space="0" w:color="auto"/>
              <w:left w:val="single" w:sz="4" w:space="0" w:color="auto"/>
              <w:bottom w:val="single" w:sz="4" w:space="0" w:color="auto"/>
              <w:right w:val="single" w:sz="4" w:space="0" w:color="auto"/>
            </w:tcBorders>
            <w:vAlign w:val="center"/>
          </w:tcPr>
          <w:p w14:paraId="1DA49D24" w14:textId="77777777" w:rsidR="001F6203" w:rsidRPr="00F075F9" w:rsidRDefault="001F6203" w:rsidP="002914FE">
            <w:pPr>
              <w:pStyle w:val="Paragraphedeliste"/>
              <w:ind w:left="0"/>
            </w:pPr>
            <w:r w:rsidRPr="00F075F9">
              <w:rPr>
                <w:rFonts w:ascii="Aptos Display" w:hAnsi="Aptos Display" w:cs="Calibri"/>
                <w:color w:val="000000"/>
                <w:sz w:val="20"/>
                <w:szCs w:val="20"/>
              </w:rPr>
              <w:t>86,97%</w:t>
            </w:r>
          </w:p>
        </w:tc>
        <w:tc>
          <w:tcPr>
            <w:tcW w:w="1049" w:type="dxa"/>
            <w:tcBorders>
              <w:top w:val="single" w:sz="4" w:space="0" w:color="auto"/>
              <w:left w:val="nil"/>
              <w:bottom w:val="single" w:sz="4" w:space="0" w:color="auto"/>
              <w:right w:val="single" w:sz="4" w:space="0" w:color="auto"/>
            </w:tcBorders>
            <w:vAlign w:val="center"/>
          </w:tcPr>
          <w:p w14:paraId="4F2D3ACE" w14:textId="77777777" w:rsidR="001F6203" w:rsidRPr="00F075F9" w:rsidRDefault="001F6203" w:rsidP="002914FE">
            <w:pPr>
              <w:pStyle w:val="Paragraphedeliste"/>
              <w:ind w:left="0"/>
            </w:pPr>
            <w:r w:rsidRPr="00F075F9">
              <w:rPr>
                <w:rFonts w:ascii="Aptos Display" w:hAnsi="Aptos Display" w:cs="Calibri"/>
                <w:color w:val="000000"/>
                <w:sz w:val="20"/>
                <w:szCs w:val="20"/>
              </w:rPr>
              <w:t>83,5%</w:t>
            </w:r>
          </w:p>
        </w:tc>
        <w:tc>
          <w:tcPr>
            <w:tcW w:w="777" w:type="dxa"/>
            <w:tcBorders>
              <w:top w:val="single" w:sz="4" w:space="0" w:color="auto"/>
              <w:left w:val="nil"/>
              <w:bottom w:val="single" w:sz="4" w:space="0" w:color="auto"/>
              <w:right w:val="single" w:sz="4" w:space="0" w:color="auto"/>
            </w:tcBorders>
            <w:shd w:val="clear" w:color="000000" w:fill="E7E6E6"/>
            <w:vAlign w:val="center"/>
          </w:tcPr>
          <w:p w14:paraId="1535CAAE"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NA</w:t>
            </w:r>
          </w:p>
        </w:tc>
        <w:tc>
          <w:tcPr>
            <w:tcW w:w="661" w:type="dxa"/>
            <w:tcBorders>
              <w:top w:val="single" w:sz="4" w:space="0" w:color="auto"/>
              <w:left w:val="nil"/>
              <w:bottom w:val="single" w:sz="4" w:space="0" w:color="auto"/>
              <w:right w:val="single" w:sz="4" w:space="0" w:color="auto"/>
            </w:tcBorders>
            <w:shd w:val="clear" w:color="000000" w:fill="E7E6E6"/>
            <w:vAlign w:val="center"/>
          </w:tcPr>
          <w:p w14:paraId="4BAD2085"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NA</w:t>
            </w:r>
          </w:p>
        </w:tc>
        <w:tc>
          <w:tcPr>
            <w:tcW w:w="822" w:type="dxa"/>
            <w:tcBorders>
              <w:top w:val="single" w:sz="4" w:space="0" w:color="auto"/>
              <w:left w:val="nil"/>
              <w:bottom w:val="single" w:sz="4" w:space="0" w:color="auto"/>
              <w:right w:val="single" w:sz="4" w:space="0" w:color="auto"/>
            </w:tcBorders>
            <w:shd w:val="clear" w:color="000000" w:fill="E7E6E6"/>
            <w:vAlign w:val="center"/>
          </w:tcPr>
          <w:p w14:paraId="4BC567B5"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85,00%</w:t>
            </w:r>
          </w:p>
        </w:tc>
        <w:tc>
          <w:tcPr>
            <w:tcW w:w="777" w:type="dxa"/>
            <w:tcBorders>
              <w:top w:val="single" w:sz="4" w:space="0" w:color="auto"/>
              <w:left w:val="nil"/>
              <w:bottom w:val="single" w:sz="4" w:space="0" w:color="auto"/>
              <w:right w:val="single" w:sz="4" w:space="0" w:color="auto"/>
            </w:tcBorders>
            <w:vAlign w:val="center"/>
          </w:tcPr>
          <w:p w14:paraId="6F2858FA"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1174</w:t>
            </w:r>
          </w:p>
        </w:tc>
        <w:tc>
          <w:tcPr>
            <w:tcW w:w="765" w:type="dxa"/>
            <w:tcBorders>
              <w:top w:val="single" w:sz="4" w:space="0" w:color="auto"/>
              <w:left w:val="nil"/>
              <w:bottom w:val="single" w:sz="4" w:space="0" w:color="auto"/>
              <w:right w:val="single" w:sz="4" w:space="0" w:color="auto"/>
            </w:tcBorders>
            <w:vAlign w:val="center"/>
          </w:tcPr>
          <w:p w14:paraId="79EA60EF"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1415</w:t>
            </w:r>
          </w:p>
        </w:tc>
        <w:tc>
          <w:tcPr>
            <w:tcW w:w="987" w:type="dxa"/>
            <w:tcBorders>
              <w:top w:val="single" w:sz="4" w:space="0" w:color="auto"/>
              <w:left w:val="nil"/>
              <w:bottom w:val="single" w:sz="4" w:space="0" w:color="auto"/>
              <w:right w:val="single" w:sz="4" w:space="0" w:color="auto"/>
            </w:tcBorders>
            <w:vAlign w:val="center"/>
          </w:tcPr>
          <w:p w14:paraId="2F95A33E"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82,97%</w:t>
            </w:r>
          </w:p>
        </w:tc>
        <w:tc>
          <w:tcPr>
            <w:tcW w:w="1282" w:type="dxa"/>
            <w:tcBorders>
              <w:top w:val="single" w:sz="4" w:space="0" w:color="auto"/>
              <w:left w:val="single" w:sz="4" w:space="0" w:color="auto"/>
              <w:bottom w:val="single" w:sz="4" w:space="0" w:color="auto"/>
              <w:right w:val="single" w:sz="4" w:space="0" w:color="auto"/>
            </w:tcBorders>
            <w:shd w:val="clear" w:color="000000" w:fill="A9D08E"/>
            <w:vAlign w:val="center"/>
          </w:tcPr>
          <w:p w14:paraId="1AA44317"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97,61%</w:t>
            </w:r>
          </w:p>
        </w:tc>
      </w:tr>
    </w:tbl>
    <w:p w14:paraId="0298ED53" w14:textId="77777777" w:rsidR="001F6203" w:rsidRPr="00F075F9" w:rsidRDefault="001F6203" w:rsidP="001F6203">
      <w:pPr>
        <w:jc w:val="both"/>
      </w:pPr>
      <w:r w:rsidRPr="00F075F9">
        <w:t>Source des données : Base des données PNLT RDC, janvier à juin 2025</w:t>
      </w:r>
    </w:p>
    <w:p w14:paraId="3FD52AB8" w14:textId="77777777" w:rsidR="001F6203" w:rsidRPr="00F075F9" w:rsidRDefault="001F6203" w:rsidP="001F6203">
      <w:pPr>
        <w:jc w:val="both"/>
        <w:rPr>
          <w:b/>
          <w:bCs/>
        </w:rPr>
      </w:pPr>
    </w:p>
    <w:p w14:paraId="6FD4BD12" w14:textId="77777777" w:rsidR="001F6203" w:rsidRPr="00F075F9" w:rsidRDefault="001F6203" w:rsidP="001F6203">
      <w:pPr>
        <w:jc w:val="both"/>
        <w:rPr>
          <w:b/>
          <w:bCs/>
        </w:rPr>
      </w:pPr>
      <w:r w:rsidRPr="00F075F9">
        <w:rPr>
          <w:b/>
          <w:bCs/>
        </w:rPr>
        <w:t>Commentaires du PR sur le DRTB-9</w:t>
      </w:r>
    </w:p>
    <w:p w14:paraId="4F663F6B" w14:textId="6EE40EDC" w:rsidR="001F6203" w:rsidRPr="00F075F9" w:rsidRDefault="001F6203" w:rsidP="001F6203">
      <w:pPr>
        <w:jc w:val="both"/>
        <w:rPr>
          <w:lang w:val="fr-CD"/>
        </w:rPr>
      </w:pPr>
      <w:r w:rsidRPr="00F075F9">
        <w:rPr>
          <w:lang w:val="fr-CD"/>
        </w:rPr>
        <w:t>Au premier semestre 2025 (S1 2025), le taux de succès thérapeutique pour les patients atteints de tuberculose résistante à la rifampicine (TB-RR) et/ou multirésistante (TB-MR) s’est établi à 82,97%, avec 1 174 patients traités avec succès sur 1 415 cas suivis représentant une performance de 97,61%. Ce résultat marque une légère baisse par rapport aux périodes antérieures, avec un taux de succès thérapeutique de 86,97% au S1 2024 (cohorte 2021) et de 83,5% au T4 2024 (cohorte 2022). La tendance observée montre une diminution progressive du taux de succès thérapeutique.</w:t>
      </w:r>
    </w:p>
    <w:p w14:paraId="209BCAA8" w14:textId="77777777" w:rsidR="001F6203" w:rsidRPr="00F075F9" w:rsidRDefault="001F6203" w:rsidP="001F6203">
      <w:pPr>
        <w:jc w:val="both"/>
        <w:rPr>
          <w:lang w:val="fr-CD"/>
        </w:rPr>
      </w:pPr>
      <w:r w:rsidRPr="00F075F9">
        <w:rPr>
          <w:lang w:val="fr-CD"/>
        </w:rPr>
        <w:t xml:space="preserve">Ces données sont collectées à travers les rapports des Coordinations Provinciales Lèpre Tuberculose (CPLT), validées par les équipes provinciales, puis centralisées au niveau national par le PNLT. Le calcul de ce taux de succès thérapeutique repose sur la somme des patients ayant achevé leur traitement et ceux déclarés guéris, divisée par la cohorte des patients sous traitement un à deux ans auparavant, conformément aux directives du Programme National de Lutte contre la Tuberculose (PNLT) de la RDC. </w:t>
      </w:r>
    </w:p>
    <w:p w14:paraId="13BA6042" w14:textId="77777777" w:rsidR="001F6203" w:rsidRPr="00F075F9" w:rsidRDefault="001F6203" w:rsidP="001F6203">
      <w:pPr>
        <w:jc w:val="both"/>
        <w:rPr>
          <w:lang w:val="fr-CD"/>
        </w:rPr>
      </w:pPr>
      <w:r w:rsidRPr="00F075F9">
        <w:rPr>
          <w:lang w:val="fr-CD"/>
        </w:rPr>
        <w:t>Le contexte opérationnel durant cette période a été marqué par plusieurs contraintes majeures. La suspension des appuis nutritionnels ainsi que du soutien au transport des patients atteints de TB-MR depuis S1 2024, a directement impacté l’adhérence au traitement. De plus, les activités de soutien communautaire à l’adhérence ont été limitées à 17 provinces sur un total de 26, ce qui a réduit la couverture nationale des interventions.</w:t>
      </w:r>
    </w:p>
    <w:p w14:paraId="700B738E" w14:textId="5859156A" w:rsidR="001F6203" w:rsidRPr="00F075F9" w:rsidRDefault="001F6203" w:rsidP="001F6203">
      <w:pPr>
        <w:jc w:val="both"/>
        <w:rPr>
          <w:lang w:val="fr-CD"/>
        </w:rPr>
      </w:pPr>
      <w:r w:rsidRPr="00F075F9">
        <w:rPr>
          <w:lang w:val="fr-CD"/>
        </w:rPr>
        <w:t>Parmi les provinces ayant atteint ou dépassé l</w:t>
      </w:r>
      <w:r w:rsidR="00927CA1" w:rsidRPr="00F075F9">
        <w:rPr>
          <w:lang w:val="fr-CD"/>
        </w:rPr>
        <w:t>’</w:t>
      </w:r>
      <w:r w:rsidRPr="00F075F9">
        <w:rPr>
          <w:lang w:val="fr-CD"/>
        </w:rPr>
        <w:t>objectif</w:t>
      </w:r>
      <w:r w:rsidR="00927CA1" w:rsidRPr="00F075F9">
        <w:rPr>
          <w:lang w:val="fr-CD"/>
        </w:rPr>
        <w:t xml:space="preserve"> de 85%</w:t>
      </w:r>
      <w:r w:rsidRPr="00F075F9">
        <w:rPr>
          <w:lang w:val="fr-CD"/>
        </w:rPr>
        <w:t xml:space="preserve">, plusieurs facteurs de réussite ont été identifiés. L’implication soutenue des autorités sanitaires et politico-administratives, notamment dans la province du </w:t>
      </w:r>
      <w:r w:rsidRPr="00F075F9">
        <w:rPr>
          <w:b/>
          <w:bCs/>
          <w:lang w:val="fr-CD"/>
        </w:rPr>
        <w:t xml:space="preserve">Kongo Central </w:t>
      </w:r>
      <w:r w:rsidR="00927CA1" w:rsidRPr="00F075F9">
        <w:rPr>
          <w:b/>
          <w:bCs/>
          <w:lang w:val="fr-CD"/>
        </w:rPr>
        <w:t>(</w:t>
      </w:r>
      <w:r w:rsidR="0072381F" w:rsidRPr="00F075F9">
        <w:rPr>
          <w:b/>
          <w:bCs/>
          <w:lang w:val="fr-CD"/>
        </w:rPr>
        <w:t xml:space="preserve">performance de </w:t>
      </w:r>
      <w:r w:rsidR="00927CA1" w:rsidRPr="00F075F9">
        <w:rPr>
          <w:b/>
          <w:bCs/>
          <w:lang w:val="fr-CD"/>
        </w:rPr>
        <w:t>110</w:t>
      </w:r>
      <w:r w:rsidRPr="00F075F9">
        <w:rPr>
          <w:b/>
          <w:bCs/>
          <w:lang w:val="fr-CD"/>
        </w:rPr>
        <w:t>%)</w:t>
      </w:r>
      <w:r w:rsidRPr="00F075F9">
        <w:rPr>
          <w:lang w:val="fr-CD"/>
        </w:rPr>
        <w:t xml:space="preserve"> où des campagnes de plaidoyer et une mobilisation communautaire soutenue ont eu lieu, a fortement contribué à la performance. De plus, la disponibilité continue des médicaments de deuxième ligne dans des provinces comme l’</w:t>
      </w:r>
      <w:r w:rsidRPr="00F075F9">
        <w:rPr>
          <w:b/>
          <w:bCs/>
          <w:lang w:val="fr-CD"/>
        </w:rPr>
        <w:t>Ituri</w:t>
      </w:r>
      <w:r w:rsidR="0072381F" w:rsidRPr="00F075F9">
        <w:rPr>
          <w:b/>
          <w:bCs/>
          <w:lang w:val="fr-CD"/>
        </w:rPr>
        <w:t xml:space="preserve"> </w:t>
      </w:r>
      <w:r w:rsidRPr="00F075F9">
        <w:rPr>
          <w:b/>
          <w:bCs/>
          <w:lang w:val="fr-CD"/>
        </w:rPr>
        <w:t>(</w:t>
      </w:r>
      <w:r w:rsidR="0072381F" w:rsidRPr="00F075F9">
        <w:rPr>
          <w:b/>
          <w:bCs/>
          <w:lang w:val="fr-CD"/>
        </w:rPr>
        <w:t xml:space="preserve">performance de </w:t>
      </w:r>
      <w:r w:rsidRPr="00F075F9">
        <w:rPr>
          <w:b/>
          <w:bCs/>
          <w:lang w:val="fr-CD"/>
        </w:rPr>
        <w:t>118%)</w:t>
      </w:r>
      <w:r w:rsidR="0072381F" w:rsidRPr="00F075F9">
        <w:rPr>
          <w:b/>
          <w:bCs/>
          <w:lang w:val="fr-CD"/>
        </w:rPr>
        <w:t>,</w:t>
      </w:r>
      <w:r w:rsidRPr="00F075F9">
        <w:rPr>
          <w:b/>
          <w:bCs/>
          <w:lang w:val="fr-CD"/>
        </w:rPr>
        <w:t xml:space="preserve"> le Sud-Ubangi (</w:t>
      </w:r>
      <w:r w:rsidR="0072381F" w:rsidRPr="00F075F9">
        <w:rPr>
          <w:b/>
          <w:bCs/>
          <w:lang w:val="fr-CD"/>
        </w:rPr>
        <w:t xml:space="preserve">performance de </w:t>
      </w:r>
      <w:r w:rsidRPr="00F075F9">
        <w:rPr>
          <w:b/>
          <w:bCs/>
          <w:lang w:val="fr-CD"/>
        </w:rPr>
        <w:t>118%)</w:t>
      </w:r>
      <w:r w:rsidRPr="00F075F9">
        <w:rPr>
          <w:lang w:val="fr-CD"/>
        </w:rPr>
        <w:t xml:space="preserve"> </w:t>
      </w:r>
      <w:r w:rsidRPr="00F075F9">
        <w:rPr>
          <w:b/>
          <w:bCs/>
          <w:lang w:val="fr-CD"/>
        </w:rPr>
        <w:t>et le Kongo Central</w:t>
      </w:r>
      <w:r w:rsidRPr="00F075F9">
        <w:rPr>
          <w:lang w:val="fr-CD"/>
        </w:rPr>
        <w:t xml:space="preserve"> a permis une meilleure continuité des traitements.</w:t>
      </w:r>
    </w:p>
    <w:p w14:paraId="025CF58B" w14:textId="1DB5CC64" w:rsidR="001F6203" w:rsidRPr="00F075F9" w:rsidRDefault="001F6203" w:rsidP="001F6203">
      <w:pPr>
        <w:jc w:val="both"/>
        <w:rPr>
          <w:lang w:val="fr-CD"/>
        </w:rPr>
      </w:pPr>
      <w:r w:rsidRPr="00F075F9">
        <w:rPr>
          <w:lang w:val="fr-CD"/>
        </w:rPr>
        <w:t xml:space="preserve">En revanche, les provinces les moins performantes </w:t>
      </w:r>
      <w:r w:rsidRPr="00F075F9">
        <w:rPr>
          <w:b/>
          <w:bCs/>
          <w:lang w:val="fr-CD"/>
        </w:rPr>
        <w:t>(</w:t>
      </w:r>
      <w:proofErr w:type="spellStart"/>
      <w:r w:rsidRPr="00F075F9">
        <w:rPr>
          <w:b/>
          <w:bCs/>
          <w:lang w:val="fr-CD"/>
        </w:rPr>
        <w:t>Maindombe</w:t>
      </w:r>
      <w:proofErr w:type="spellEnd"/>
      <w:r w:rsidRPr="00F075F9">
        <w:rPr>
          <w:b/>
          <w:bCs/>
          <w:lang w:val="fr-CD"/>
        </w:rPr>
        <w:t> 72%)</w:t>
      </w:r>
      <w:r w:rsidRPr="00F075F9">
        <w:rPr>
          <w:lang w:val="fr-CD"/>
        </w:rPr>
        <w:t xml:space="preserve"> ont été confrontées à des défis importants. La démotivation des relais communautaires (RECO), liée à l’arrêt du paiement de leurs frais de transport depuis le premier semestre 2023, a fortement limité leur soutien à l’adhérence. De même, l’absence prolongée des kits nutritionnels a compromis l’adhésion des patients au traitement, contribuant à l’insuffisance des résultats.</w:t>
      </w:r>
      <w:r w:rsidRPr="00F075F9">
        <w:t xml:space="preserve"> Au sein de la cohorte de 1 415 patients atteints de tuberculose multirésistante (TB-MR) en 2023, le taux d’issues défavorables s’élève à 17%, se décomposant en 12% de patients perdus de vue (176)</w:t>
      </w:r>
      <w:r w:rsidR="00595DDB" w:rsidRPr="00F075F9">
        <w:t xml:space="preserve">, </w:t>
      </w:r>
      <w:r w:rsidRPr="00F075F9">
        <w:t>4% de décès (61)</w:t>
      </w:r>
      <w:r w:rsidR="00595DDB" w:rsidRPr="00F075F9">
        <w:t xml:space="preserve"> et 1% de non-évalués (14</w:t>
      </w:r>
      <w:r w:rsidR="00EB18BC" w:rsidRPr="00F075F9">
        <w:t>)</w:t>
      </w:r>
      <w:r w:rsidRPr="00F075F9">
        <w:t>, ce qui r</w:t>
      </w:r>
      <w:proofErr w:type="spellStart"/>
      <w:r w:rsidRPr="00F075F9">
        <w:rPr>
          <w:lang w:val="fr-CD"/>
        </w:rPr>
        <w:t>eflète</w:t>
      </w:r>
      <w:proofErr w:type="spellEnd"/>
      <w:r w:rsidRPr="00F075F9">
        <w:rPr>
          <w:lang w:val="fr-CD"/>
        </w:rPr>
        <w:t xml:space="preserve"> des défis importants dans la prise en charge de cette </w:t>
      </w:r>
      <w:r w:rsidRPr="00F075F9">
        <w:rPr>
          <w:lang w:val="fr-CD"/>
        </w:rPr>
        <w:lastRenderedPageBreak/>
        <w:t>population vulnérable. La part prépondérante des patients perdus de vue (12%) souligne un problème majeur d’adhésion et de suivi.</w:t>
      </w:r>
    </w:p>
    <w:p w14:paraId="434478CA" w14:textId="7D79D008" w:rsidR="001F6203" w:rsidRPr="00F075F9" w:rsidRDefault="001F6203" w:rsidP="001F6203">
      <w:pPr>
        <w:jc w:val="both"/>
        <w:rPr>
          <w:lang w:val="fr-CD"/>
        </w:rPr>
      </w:pPr>
      <w:r w:rsidRPr="00F075F9">
        <w:rPr>
          <w:lang w:val="fr-CD"/>
        </w:rPr>
        <w:t xml:space="preserve">Pour améliorer la situation lors du second semestre 2025, plusieurs interventions correctives sont prévues. Celles-ci incluent un soutien renforcé aux RECO pour la recherche active des cas présumés TB-MR, l’approvisionnement régulier en médicaments </w:t>
      </w:r>
      <w:r w:rsidR="007F3BF4" w:rsidRPr="00F075F9">
        <w:rPr>
          <w:lang w:val="fr-CD"/>
        </w:rPr>
        <w:t>antituberculeux</w:t>
      </w:r>
      <w:r w:rsidRPr="00F075F9">
        <w:rPr>
          <w:lang w:val="fr-CD"/>
        </w:rPr>
        <w:t xml:space="preserve"> de deuxième ligne, le renforcement des activités de sensibilisation communautaire, ainsi qu’un suivi et un appui des RECO à l’adhérence thérapeutique.</w:t>
      </w:r>
    </w:p>
    <w:p w14:paraId="34DAA611" w14:textId="77777777" w:rsidR="001F6203" w:rsidRPr="00F075F9" w:rsidRDefault="001F6203" w:rsidP="001F6203">
      <w:pPr>
        <w:jc w:val="both"/>
        <w:rPr>
          <w:lang w:val="fr-CD"/>
        </w:rPr>
      </w:pPr>
      <w:r w:rsidRPr="00F075F9">
        <w:rPr>
          <w:lang w:val="fr-CD"/>
        </w:rPr>
        <w:t>Si les actions prévues sont mises en œuvre efficacement, une amélioration du taux de succès thérapeutique est attendue pour le second semestre 2025 (S2 2025), avec la possibilité de dépasser la cible de 85%. Cependant, en l’absence de rétablissement des appuis suspendus, une dégradation des résultats pourrait se poursuivre.</w:t>
      </w:r>
    </w:p>
    <w:bookmarkEnd w:id="14"/>
    <w:bookmarkEnd w:id="15"/>
    <w:p w14:paraId="4321ABFF" w14:textId="77777777" w:rsidR="001F6203" w:rsidRPr="00F075F9" w:rsidRDefault="001F6203" w:rsidP="001F6203">
      <w:pPr>
        <w:jc w:val="both"/>
      </w:pPr>
    </w:p>
    <w:tbl>
      <w:tblPr>
        <w:tblStyle w:val="Grilledutableau"/>
        <w:tblW w:w="10610" w:type="dxa"/>
        <w:tblInd w:w="-289" w:type="dxa"/>
        <w:tblLook w:val="04A0" w:firstRow="1" w:lastRow="0" w:firstColumn="1" w:lastColumn="0" w:noHBand="0" w:noVBand="1"/>
      </w:tblPr>
      <w:tblGrid>
        <w:gridCol w:w="2777"/>
        <w:gridCol w:w="936"/>
        <w:gridCol w:w="957"/>
        <w:gridCol w:w="701"/>
        <w:gridCol w:w="623"/>
        <w:gridCol w:w="849"/>
        <w:gridCol w:w="750"/>
        <w:gridCol w:w="844"/>
        <w:gridCol w:w="849"/>
        <w:gridCol w:w="1324"/>
      </w:tblGrid>
      <w:tr w:rsidR="001F6203" w:rsidRPr="00F075F9" w14:paraId="67612C83" w14:textId="77777777" w:rsidTr="002914FE">
        <w:trPr>
          <w:trHeight w:val="492"/>
        </w:trPr>
        <w:tc>
          <w:tcPr>
            <w:tcW w:w="2777" w:type="dxa"/>
            <w:vMerge w:val="restart"/>
          </w:tcPr>
          <w:p w14:paraId="7DD03CF6"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Indicateur</w:t>
            </w:r>
          </w:p>
        </w:tc>
        <w:tc>
          <w:tcPr>
            <w:tcW w:w="936" w:type="dxa"/>
            <w:vMerge w:val="restart"/>
            <w:shd w:val="clear" w:color="auto" w:fill="BEBEBE"/>
          </w:tcPr>
          <w:p w14:paraId="38BF95B7" w14:textId="77777777" w:rsidR="001F6203" w:rsidRPr="00F075F9" w:rsidRDefault="001F6203"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S1 2024</w:t>
            </w:r>
          </w:p>
        </w:tc>
        <w:tc>
          <w:tcPr>
            <w:tcW w:w="957" w:type="dxa"/>
            <w:vMerge w:val="restart"/>
            <w:shd w:val="clear" w:color="auto" w:fill="BEBEBE"/>
          </w:tcPr>
          <w:p w14:paraId="28DF5A22" w14:textId="77777777" w:rsidR="001F6203" w:rsidRPr="00F075F9" w:rsidRDefault="001F6203" w:rsidP="002914FE">
            <w:pPr>
              <w:pStyle w:val="Paragraphedeliste"/>
              <w:ind w:left="0"/>
              <w:jc w:val="center"/>
            </w:pPr>
            <w:r w:rsidRPr="00F075F9">
              <w:rPr>
                <w:rFonts w:asciiTheme="majorHAnsi" w:eastAsia="Times New Roman" w:hAnsiTheme="majorHAnsi" w:cs="Segoe UI"/>
                <w:b/>
                <w:bCs/>
                <w:color w:val="000000"/>
                <w:kern w:val="24"/>
                <w:sz w:val="20"/>
                <w:szCs w:val="20"/>
                <w:lang w:eastAsia="fr-CD"/>
                <w14:ligatures w14:val="none"/>
              </w:rPr>
              <w:t>Résultat T4 2024</w:t>
            </w:r>
          </w:p>
        </w:tc>
        <w:tc>
          <w:tcPr>
            <w:tcW w:w="2173" w:type="dxa"/>
            <w:gridSpan w:val="3"/>
            <w:shd w:val="clear" w:color="auto" w:fill="BEBEBE"/>
            <w:vAlign w:val="center"/>
          </w:tcPr>
          <w:p w14:paraId="1B919D3A"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Cible S1 2025</w:t>
            </w:r>
          </w:p>
        </w:tc>
        <w:tc>
          <w:tcPr>
            <w:tcW w:w="3767" w:type="dxa"/>
            <w:gridSpan w:val="4"/>
            <w:shd w:val="clear" w:color="auto" w:fill="83CAEB" w:themeFill="accent1" w:themeFillTint="66"/>
            <w:vAlign w:val="center"/>
          </w:tcPr>
          <w:p w14:paraId="3C496980"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 xml:space="preserve">                                         Résultat   S1 2025</w:t>
            </w:r>
          </w:p>
        </w:tc>
      </w:tr>
      <w:tr w:rsidR="001F6203" w:rsidRPr="00F075F9" w14:paraId="4707276F" w14:textId="77777777" w:rsidTr="002914FE">
        <w:trPr>
          <w:trHeight w:val="144"/>
        </w:trPr>
        <w:tc>
          <w:tcPr>
            <w:tcW w:w="2777" w:type="dxa"/>
            <w:vMerge/>
          </w:tcPr>
          <w:p w14:paraId="15F595B4" w14:textId="77777777" w:rsidR="001F6203" w:rsidRPr="00F075F9" w:rsidRDefault="001F6203" w:rsidP="002914FE">
            <w:pPr>
              <w:pStyle w:val="Paragraphedeliste"/>
              <w:ind w:left="0"/>
              <w:jc w:val="both"/>
            </w:pPr>
          </w:p>
        </w:tc>
        <w:tc>
          <w:tcPr>
            <w:tcW w:w="936" w:type="dxa"/>
            <w:vMerge/>
          </w:tcPr>
          <w:p w14:paraId="097CD464" w14:textId="77777777" w:rsidR="001F6203" w:rsidRPr="00F075F9" w:rsidRDefault="001F6203" w:rsidP="002914FE">
            <w:pPr>
              <w:pStyle w:val="Paragraphedeliste"/>
              <w:ind w:left="0"/>
              <w:jc w:val="center"/>
            </w:pPr>
          </w:p>
        </w:tc>
        <w:tc>
          <w:tcPr>
            <w:tcW w:w="957" w:type="dxa"/>
            <w:vMerge/>
          </w:tcPr>
          <w:p w14:paraId="14ECA412" w14:textId="77777777" w:rsidR="001F6203" w:rsidRPr="00F075F9" w:rsidRDefault="001F6203" w:rsidP="002914FE">
            <w:pPr>
              <w:pStyle w:val="Paragraphedeliste"/>
              <w:ind w:left="0"/>
              <w:jc w:val="center"/>
            </w:pPr>
          </w:p>
        </w:tc>
        <w:tc>
          <w:tcPr>
            <w:tcW w:w="701" w:type="dxa"/>
            <w:shd w:val="clear" w:color="auto" w:fill="BEBEBE"/>
            <w:vAlign w:val="center"/>
          </w:tcPr>
          <w:p w14:paraId="555F12AA"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623" w:type="dxa"/>
            <w:shd w:val="clear" w:color="auto" w:fill="BEBEBE"/>
            <w:vAlign w:val="center"/>
          </w:tcPr>
          <w:p w14:paraId="3B5BF294"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49" w:type="dxa"/>
            <w:shd w:val="clear" w:color="auto" w:fill="BEBEBE"/>
            <w:vAlign w:val="center"/>
          </w:tcPr>
          <w:p w14:paraId="5175E40B"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750" w:type="dxa"/>
            <w:shd w:val="clear" w:color="auto" w:fill="83CAEB" w:themeFill="accent1" w:themeFillTint="66"/>
            <w:vAlign w:val="center"/>
          </w:tcPr>
          <w:p w14:paraId="32BA5064"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Num</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44" w:type="dxa"/>
            <w:shd w:val="clear" w:color="auto" w:fill="83CAEB" w:themeFill="accent1" w:themeFillTint="66"/>
            <w:vAlign w:val="center"/>
          </w:tcPr>
          <w:p w14:paraId="30AAD05D" w14:textId="77777777" w:rsidR="001F6203" w:rsidRPr="00F075F9" w:rsidRDefault="001F6203" w:rsidP="002914FE">
            <w:pPr>
              <w:pStyle w:val="Paragraphedeliste"/>
              <w:ind w:left="0"/>
              <w:jc w:val="both"/>
            </w:pPr>
            <w:proofErr w:type="spellStart"/>
            <w:r w:rsidRPr="00F075F9">
              <w:rPr>
                <w:rFonts w:asciiTheme="majorHAnsi" w:eastAsia="Times New Roman" w:hAnsiTheme="majorHAnsi" w:cs="Segoe UI"/>
                <w:b/>
                <w:bCs/>
                <w:color w:val="000000"/>
                <w:kern w:val="24"/>
                <w:sz w:val="20"/>
                <w:szCs w:val="20"/>
                <w:lang w:eastAsia="fr-CD"/>
                <w14:ligatures w14:val="none"/>
              </w:rPr>
              <w:t>Dén</w:t>
            </w:r>
            <w:proofErr w:type="spellEnd"/>
            <w:r w:rsidRPr="00F075F9">
              <w:rPr>
                <w:rFonts w:asciiTheme="majorHAnsi" w:eastAsia="Times New Roman" w:hAnsiTheme="majorHAnsi" w:cs="Segoe UI"/>
                <w:b/>
                <w:bCs/>
                <w:color w:val="000000"/>
                <w:kern w:val="24"/>
                <w:sz w:val="20"/>
                <w:szCs w:val="20"/>
                <w:lang w:eastAsia="fr-CD"/>
                <w14:ligatures w14:val="none"/>
              </w:rPr>
              <w:t>.</w:t>
            </w:r>
          </w:p>
        </w:tc>
        <w:tc>
          <w:tcPr>
            <w:tcW w:w="849" w:type="dxa"/>
            <w:shd w:val="clear" w:color="auto" w:fill="83CAEB" w:themeFill="accent1" w:themeFillTint="66"/>
            <w:vAlign w:val="center"/>
          </w:tcPr>
          <w:p w14:paraId="240856EE"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w:t>
            </w:r>
          </w:p>
        </w:tc>
        <w:tc>
          <w:tcPr>
            <w:tcW w:w="1324" w:type="dxa"/>
            <w:shd w:val="clear" w:color="auto" w:fill="83CAEB" w:themeFill="accent1" w:themeFillTint="66"/>
            <w:vAlign w:val="center"/>
          </w:tcPr>
          <w:p w14:paraId="6EFBA573" w14:textId="77777777" w:rsidR="001F6203" w:rsidRPr="00F075F9" w:rsidRDefault="001F6203" w:rsidP="002914FE">
            <w:pPr>
              <w:pStyle w:val="Paragraphedeliste"/>
              <w:ind w:left="0"/>
              <w:jc w:val="both"/>
            </w:pPr>
            <w:r w:rsidRPr="00F075F9">
              <w:rPr>
                <w:rFonts w:asciiTheme="majorHAnsi" w:eastAsia="Times New Roman" w:hAnsiTheme="majorHAnsi" w:cs="Segoe UI"/>
                <w:b/>
                <w:bCs/>
                <w:color w:val="000000"/>
                <w:kern w:val="24"/>
                <w:sz w:val="20"/>
                <w:szCs w:val="20"/>
                <w:lang w:eastAsia="fr-CD"/>
                <w14:ligatures w14:val="none"/>
              </w:rPr>
              <w:t>Performance</w:t>
            </w:r>
          </w:p>
        </w:tc>
      </w:tr>
      <w:tr w:rsidR="001F6203" w:rsidRPr="00F075F9" w14:paraId="6A353E79" w14:textId="77777777" w:rsidTr="002914FE">
        <w:trPr>
          <w:trHeight w:val="2274"/>
        </w:trPr>
        <w:tc>
          <w:tcPr>
            <w:tcW w:w="2777" w:type="dxa"/>
            <w:shd w:val="clear" w:color="auto" w:fill="E9E9E9"/>
            <w:vAlign w:val="center"/>
          </w:tcPr>
          <w:p w14:paraId="7880B47F" w14:textId="77777777" w:rsidR="001F6203" w:rsidRPr="00F075F9" w:rsidRDefault="001F6203" w:rsidP="002914FE">
            <w:pPr>
              <w:rPr>
                <w:rFonts w:cs="Calibri"/>
                <w:b/>
                <w:bCs/>
                <w:color w:val="000000"/>
              </w:rPr>
            </w:pPr>
            <w:r w:rsidRPr="00F075F9">
              <w:rPr>
                <w:rFonts w:cs="Calibri"/>
                <w:b/>
                <w:bCs/>
                <w:color w:val="000000"/>
              </w:rPr>
              <w:t>TBDT-3c Pourcentage de patients déclarés atteints de tuberculose toutes formes confondues (c.-à-d. confirmés bactériologiquement et diagnostiqués cliniquement) déclarés par des prestataires de soins hors programme national de lutte contre la TB – référés par la communauté ; *n'inclut que les nouveaux patients et les cas de rechute</w:t>
            </w:r>
          </w:p>
          <w:p w14:paraId="7C9970E8" w14:textId="77777777" w:rsidR="001F6203" w:rsidRPr="00F075F9" w:rsidRDefault="001F6203" w:rsidP="002914FE">
            <w:pPr>
              <w:pStyle w:val="Paragraphedeliste"/>
              <w:ind w:left="0"/>
            </w:pPr>
          </w:p>
        </w:tc>
        <w:tc>
          <w:tcPr>
            <w:tcW w:w="936" w:type="dxa"/>
            <w:tcBorders>
              <w:top w:val="single" w:sz="4" w:space="0" w:color="auto"/>
              <w:left w:val="single" w:sz="4" w:space="0" w:color="auto"/>
              <w:bottom w:val="single" w:sz="4" w:space="0" w:color="auto"/>
              <w:right w:val="single" w:sz="4" w:space="0" w:color="auto"/>
            </w:tcBorders>
            <w:vAlign w:val="center"/>
          </w:tcPr>
          <w:p w14:paraId="258D6F64" w14:textId="77777777" w:rsidR="001F6203" w:rsidRPr="00F075F9" w:rsidRDefault="001F6203" w:rsidP="002914FE">
            <w:pPr>
              <w:pStyle w:val="Paragraphedeliste"/>
              <w:ind w:left="0"/>
            </w:pPr>
            <w:r w:rsidRPr="00F075F9">
              <w:rPr>
                <w:rFonts w:ascii="Aptos Display" w:hAnsi="Aptos Display" w:cs="Calibri"/>
                <w:color w:val="000000"/>
                <w:sz w:val="20"/>
                <w:szCs w:val="20"/>
              </w:rPr>
              <w:t>32%</w:t>
            </w:r>
          </w:p>
        </w:tc>
        <w:tc>
          <w:tcPr>
            <w:tcW w:w="957" w:type="dxa"/>
            <w:tcBorders>
              <w:top w:val="single" w:sz="4" w:space="0" w:color="auto"/>
              <w:left w:val="nil"/>
              <w:bottom w:val="single" w:sz="4" w:space="0" w:color="auto"/>
              <w:right w:val="single" w:sz="4" w:space="0" w:color="auto"/>
            </w:tcBorders>
            <w:vAlign w:val="center"/>
          </w:tcPr>
          <w:p w14:paraId="3DF71397" w14:textId="77777777" w:rsidR="001F6203" w:rsidRPr="00F075F9" w:rsidRDefault="001F6203" w:rsidP="002914FE">
            <w:pPr>
              <w:pStyle w:val="Paragraphedeliste"/>
              <w:ind w:left="0"/>
              <w:jc w:val="center"/>
            </w:pPr>
            <w:r w:rsidRPr="00F075F9">
              <w:rPr>
                <w:rFonts w:ascii="Aptos Display" w:hAnsi="Aptos Display" w:cs="Calibri"/>
                <w:color w:val="000000"/>
                <w:sz w:val="20"/>
                <w:szCs w:val="20"/>
              </w:rPr>
              <w:t>24,0%</w:t>
            </w:r>
          </w:p>
        </w:tc>
        <w:tc>
          <w:tcPr>
            <w:tcW w:w="701" w:type="dxa"/>
            <w:tcBorders>
              <w:top w:val="single" w:sz="4" w:space="0" w:color="auto"/>
              <w:left w:val="nil"/>
              <w:bottom w:val="single" w:sz="4" w:space="0" w:color="auto"/>
              <w:right w:val="single" w:sz="4" w:space="0" w:color="auto"/>
            </w:tcBorders>
            <w:shd w:val="clear" w:color="000000" w:fill="E7E6E6"/>
            <w:vAlign w:val="center"/>
          </w:tcPr>
          <w:p w14:paraId="4AB74D8A"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NA</w:t>
            </w:r>
          </w:p>
        </w:tc>
        <w:tc>
          <w:tcPr>
            <w:tcW w:w="623" w:type="dxa"/>
            <w:tcBorders>
              <w:top w:val="single" w:sz="4" w:space="0" w:color="auto"/>
              <w:left w:val="nil"/>
              <w:bottom w:val="single" w:sz="4" w:space="0" w:color="auto"/>
              <w:right w:val="single" w:sz="4" w:space="0" w:color="auto"/>
            </w:tcBorders>
            <w:shd w:val="clear" w:color="000000" w:fill="E7E6E6"/>
            <w:vAlign w:val="center"/>
          </w:tcPr>
          <w:p w14:paraId="75267E1F"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 NA</w:t>
            </w:r>
          </w:p>
        </w:tc>
        <w:tc>
          <w:tcPr>
            <w:tcW w:w="849" w:type="dxa"/>
            <w:tcBorders>
              <w:top w:val="single" w:sz="4" w:space="0" w:color="auto"/>
              <w:left w:val="nil"/>
              <w:bottom w:val="single" w:sz="4" w:space="0" w:color="auto"/>
              <w:right w:val="single" w:sz="4" w:space="0" w:color="auto"/>
            </w:tcBorders>
            <w:shd w:val="clear" w:color="000000" w:fill="E7E6E6"/>
            <w:vAlign w:val="center"/>
          </w:tcPr>
          <w:p w14:paraId="60C1670B"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32,00%</w:t>
            </w:r>
          </w:p>
        </w:tc>
        <w:tc>
          <w:tcPr>
            <w:tcW w:w="750" w:type="dxa"/>
            <w:tcBorders>
              <w:top w:val="single" w:sz="4" w:space="0" w:color="auto"/>
              <w:left w:val="nil"/>
              <w:bottom w:val="single" w:sz="4" w:space="0" w:color="auto"/>
              <w:right w:val="single" w:sz="4" w:space="0" w:color="auto"/>
            </w:tcBorders>
            <w:vAlign w:val="center"/>
          </w:tcPr>
          <w:p w14:paraId="769AED88"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32047</w:t>
            </w:r>
          </w:p>
        </w:tc>
        <w:tc>
          <w:tcPr>
            <w:tcW w:w="844" w:type="dxa"/>
            <w:tcBorders>
              <w:top w:val="single" w:sz="4" w:space="0" w:color="auto"/>
              <w:left w:val="nil"/>
              <w:bottom w:val="single" w:sz="4" w:space="0" w:color="auto"/>
              <w:right w:val="single" w:sz="4" w:space="0" w:color="auto"/>
            </w:tcBorders>
            <w:vAlign w:val="center"/>
          </w:tcPr>
          <w:p w14:paraId="309760C2"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124201</w:t>
            </w:r>
          </w:p>
        </w:tc>
        <w:tc>
          <w:tcPr>
            <w:tcW w:w="849" w:type="dxa"/>
            <w:tcBorders>
              <w:top w:val="single" w:sz="4" w:space="0" w:color="auto"/>
              <w:left w:val="nil"/>
              <w:bottom w:val="single" w:sz="4" w:space="0" w:color="auto"/>
              <w:right w:val="single" w:sz="4" w:space="0" w:color="auto"/>
            </w:tcBorders>
            <w:vAlign w:val="center"/>
          </w:tcPr>
          <w:p w14:paraId="3A67D11D"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25,80%</w:t>
            </w:r>
          </w:p>
        </w:tc>
        <w:tc>
          <w:tcPr>
            <w:tcW w:w="1324" w:type="dxa"/>
            <w:tcBorders>
              <w:top w:val="single" w:sz="4" w:space="0" w:color="auto"/>
              <w:left w:val="single" w:sz="4" w:space="0" w:color="auto"/>
              <w:bottom w:val="single" w:sz="4" w:space="0" w:color="auto"/>
              <w:right w:val="single" w:sz="4" w:space="0" w:color="auto"/>
            </w:tcBorders>
            <w:shd w:val="clear" w:color="000000" w:fill="FFD966"/>
            <w:vAlign w:val="center"/>
          </w:tcPr>
          <w:p w14:paraId="3BCE08D2" w14:textId="77777777" w:rsidR="001F6203" w:rsidRPr="00F075F9" w:rsidRDefault="001F6203" w:rsidP="002914FE">
            <w:pPr>
              <w:pStyle w:val="Paragraphedeliste"/>
              <w:ind w:left="0"/>
              <w:jc w:val="both"/>
            </w:pPr>
            <w:r w:rsidRPr="00F075F9">
              <w:rPr>
                <w:rFonts w:ascii="Aptos Display" w:hAnsi="Aptos Display" w:cs="Calibri"/>
                <w:color w:val="000000"/>
                <w:sz w:val="20"/>
                <w:szCs w:val="20"/>
              </w:rPr>
              <w:t>80,63%</w:t>
            </w:r>
          </w:p>
        </w:tc>
      </w:tr>
    </w:tbl>
    <w:p w14:paraId="17AA8E29" w14:textId="77777777" w:rsidR="001F6203" w:rsidRPr="00F075F9" w:rsidRDefault="001F6203" w:rsidP="001F6203">
      <w:pPr>
        <w:jc w:val="both"/>
      </w:pPr>
      <w:r w:rsidRPr="00F075F9">
        <w:t>Source des données : DHIS2/SNIS RDC</w:t>
      </w:r>
    </w:p>
    <w:p w14:paraId="051C8B72" w14:textId="77777777" w:rsidR="001F6203" w:rsidRPr="00F075F9" w:rsidRDefault="001F6203" w:rsidP="001F6203">
      <w:pPr>
        <w:jc w:val="both"/>
        <w:rPr>
          <w:b/>
          <w:bCs/>
        </w:rPr>
      </w:pPr>
    </w:p>
    <w:p w14:paraId="331E5202" w14:textId="77777777" w:rsidR="001F6203" w:rsidRPr="00F075F9" w:rsidRDefault="001F6203" w:rsidP="001F6203">
      <w:pPr>
        <w:jc w:val="both"/>
        <w:rPr>
          <w:b/>
          <w:bCs/>
        </w:rPr>
      </w:pPr>
      <w:bookmarkStart w:id="16" w:name="_Hlk205537178"/>
      <w:r w:rsidRPr="00F075F9">
        <w:rPr>
          <w:b/>
          <w:bCs/>
        </w:rPr>
        <w:t>Commentaires du PR sur le TBDT-3c</w:t>
      </w:r>
    </w:p>
    <w:p w14:paraId="2D3CD60B" w14:textId="77777777" w:rsidR="001F6203" w:rsidRPr="00F075F9" w:rsidRDefault="001F6203" w:rsidP="001F6203">
      <w:pPr>
        <w:jc w:val="both"/>
        <w:rPr>
          <w:lang w:val="fr-CD"/>
        </w:rPr>
      </w:pPr>
      <w:r w:rsidRPr="00F075F9">
        <w:rPr>
          <w:lang w:val="fr-CD"/>
        </w:rPr>
        <w:t xml:space="preserve">L’indicateur TBDT-3c mesure le pourcentage de patients atteints de tuberculose toutes formes confondues référés par la communauté. Pour le S1 2025, le résultat national est de 25,8%, soit 80,63% de la cible fixée à 32%. Les données proviennent du DHIS2 du ministère de la santé de la RDC, avec une complétude de 98% pour le semestre. </w:t>
      </w:r>
      <w:r w:rsidRPr="00F075F9">
        <w:rPr>
          <w:lang w:val="fr-CD"/>
        </w:rPr>
        <w:lastRenderedPageBreak/>
        <w:t xml:space="preserve">L’indicateur est calculé à partir de 32 047 patients TB référés par les RECO/OAC confirmés TB sur 124 201 malades TB enregistrés dans les structures au cours du S1 2025. </w:t>
      </w:r>
    </w:p>
    <w:p w14:paraId="11EC2A22" w14:textId="508182A0" w:rsidR="001F6203" w:rsidRPr="00F075F9" w:rsidRDefault="001F6203" w:rsidP="001F6203">
      <w:pPr>
        <w:jc w:val="both"/>
        <w:rPr>
          <w:lang w:val="fr-CD"/>
        </w:rPr>
      </w:pPr>
      <w:r w:rsidRPr="00F075F9">
        <w:rPr>
          <w:lang w:val="fr-CD"/>
        </w:rPr>
        <w:t>Comparé au S1 2024 (32%), le résultat du S1 2025 (25,8%) est en baisse, ce qui reflète les défis opérationnels rencontrés. Toutefois, une amélioration progressive est observée entre T1 2025(24</w:t>
      </w:r>
      <w:r w:rsidR="00F075F9" w:rsidRPr="00F075F9">
        <w:rPr>
          <w:lang w:val="fr-CD"/>
        </w:rPr>
        <w:t>%) et</w:t>
      </w:r>
      <w:r w:rsidRPr="00F075F9">
        <w:rPr>
          <w:lang w:val="fr-CD"/>
        </w:rPr>
        <w:t xml:space="preserve"> T2 2025(28%), suggérant un potentiel de redressement si les mesures correctives sont mises en œuvre.</w:t>
      </w:r>
    </w:p>
    <w:p w14:paraId="2C190E6E" w14:textId="7C3A8E61" w:rsidR="001F6203" w:rsidRPr="00F075F9" w:rsidRDefault="001F6203" w:rsidP="001F6203">
      <w:pPr>
        <w:jc w:val="both"/>
        <w:rPr>
          <w:lang w:val="fr-CD"/>
        </w:rPr>
      </w:pPr>
      <w:r w:rsidRPr="00F075F9">
        <w:rPr>
          <w:lang w:val="fr-CD"/>
        </w:rPr>
        <w:t xml:space="preserve">Le démarrage tardif des sous-récipiendaires a entraîné un retard de paiement des RECO TB, affectant leur motivation à investiguer les contacts et référer les présumés TB au premier trimestre 2025. </w:t>
      </w:r>
    </w:p>
    <w:p w14:paraId="584B4EA7" w14:textId="4F4EF20E" w:rsidR="001F6203" w:rsidRPr="00F075F9" w:rsidRDefault="001F6203" w:rsidP="001F6203">
      <w:pPr>
        <w:jc w:val="both"/>
        <w:rPr>
          <w:lang w:val="fr-CD"/>
        </w:rPr>
      </w:pPr>
      <w:r w:rsidRPr="00F075F9">
        <w:rPr>
          <w:lang w:val="fr-CD"/>
        </w:rPr>
        <w:t xml:space="preserve">L’analyse infranationale révèle des inégalités marquées : les provinces telles que </w:t>
      </w:r>
      <w:r w:rsidRPr="00F075F9">
        <w:rPr>
          <w:b/>
          <w:bCs/>
          <w:lang w:val="fr-CD"/>
        </w:rPr>
        <w:t>Sud - Ubangi (56%</w:t>
      </w:r>
      <w:r w:rsidR="0016584D" w:rsidRPr="00F075F9">
        <w:rPr>
          <w:b/>
          <w:bCs/>
          <w:lang w:val="fr-CD"/>
        </w:rPr>
        <w:t>)</w:t>
      </w:r>
      <w:r w:rsidR="0016584D" w:rsidRPr="00F075F9">
        <w:rPr>
          <w:lang w:val="fr-CD"/>
        </w:rPr>
        <w:t>,</w:t>
      </w:r>
      <w:r w:rsidR="0016584D" w:rsidRPr="00F075F9">
        <w:rPr>
          <w:b/>
          <w:bCs/>
          <w:lang w:val="fr-CD"/>
        </w:rPr>
        <w:t xml:space="preserve"> Nord</w:t>
      </w:r>
      <w:r w:rsidRPr="00F075F9">
        <w:rPr>
          <w:b/>
          <w:bCs/>
          <w:lang w:val="fr-CD"/>
        </w:rPr>
        <w:t xml:space="preserve"> Ubangi (53%), </w:t>
      </w:r>
      <w:r w:rsidRPr="00F075F9">
        <w:rPr>
          <w:lang w:val="fr-CD"/>
        </w:rPr>
        <w:t>L</w:t>
      </w:r>
      <w:r w:rsidRPr="00F075F9">
        <w:rPr>
          <w:b/>
          <w:bCs/>
          <w:lang w:val="fr-CD"/>
        </w:rPr>
        <w:t xml:space="preserve">omami (45%), </w:t>
      </w:r>
      <w:proofErr w:type="gramStart"/>
      <w:r w:rsidRPr="00F075F9">
        <w:rPr>
          <w:b/>
          <w:bCs/>
          <w:lang w:val="fr-CD"/>
        </w:rPr>
        <w:t>Ituri(</w:t>
      </w:r>
      <w:proofErr w:type="gramEnd"/>
      <w:r w:rsidRPr="00F075F9">
        <w:rPr>
          <w:b/>
          <w:bCs/>
          <w:lang w:val="fr-CD"/>
        </w:rPr>
        <w:t>39%), Haut-</w:t>
      </w:r>
      <w:proofErr w:type="gramStart"/>
      <w:r w:rsidRPr="00F075F9">
        <w:rPr>
          <w:b/>
          <w:bCs/>
          <w:lang w:val="fr-CD"/>
        </w:rPr>
        <w:t>Uélé(</w:t>
      </w:r>
      <w:proofErr w:type="gramEnd"/>
      <w:r w:rsidRPr="00F075F9">
        <w:rPr>
          <w:b/>
          <w:bCs/>
          <w:lang w:val="fr-CD"/>
        </w:rPr>
        <w:t xml:space="preserve">39%), </w:t>
      </w:r>
      <w:proofErr w:type="spellStart"/>
      <w:r w:rsidRPr="00F075F9">
        <w:rPr>
          <w:b/>
          <w:bCs/>
          <w:lang w:val="fr-CD"/>
        </w:rPr>
        <w:t>Mongala</w:t>
      </w:r>
      <w:proofErr w:type="spellEnd"/>
      <w:r w:rsidR="00F075F9">
        <w:rPr>
          <w:b/>
          <w:bCs/>
          <w:lang w:val="fr-CD"/>
        </w:rPr>
        <w:t xml:space="preserve"> </w:t>
      </w:r>
      <w:r w:rsidRPr="00F075F9">
        <w:rPr>
          <w:b/>
          <w:bCs/>
          <w:lang w:val="fr-CD"/>
        </w:rPr>
        <w:t>(38%),</w:t>
      </w:r>
      <w:r w:rsidR="00F075F9">
        <w:rPr>
          <w:b/>
          <w:bCs/>
          <w:lang w:val="fr-CD"/>
        </w:rPr>
        <w:t xml:space="preserve"> </w:t>
      </w:r>
      <w:r w:rsidRPr="00F075F9">
        <w:rPr>
          <w:b/>
          <w:bCs/>
          <w:lang w:val="fr-CD"/>
        </w:rPr>
        <w:t>Haut-</w:t>
      </w:r>
      <w:r w:rsidR="00F075F9" w:rsidRPr="00F075F9">
        <w:rPr>
          <w:b/>
          <w:bCs/>
          <w:lang w:val="fr-CD"/>
        </w:rPr>
        <w:t>Lomami (</w:t>
      </w:r>
      <w:r w:rsidRPr="00F075F9">
        <w:rPr>
          <w:b/>
          <w:bCs/>
          <w:lang w:val="fr-CD"/>
        </w:rPr>
        <w:t>34%), Sankuru (33%)</w:t>
      </w:r>
      <w:r w:rsidRPr="00F075F9">
        <w:rPr>
          <w:lang w:val="fr-CD"/>
        </w:rPr>
        <w:t xml:space="preserve">, ont dépassé la cible, illustrant une forte mobilisation communautaire. Les facteurs de succès dans ces provinces performantes incluent une recherche active des présumés TB par des anciens malades volontaires organisés (Club des Amis de Damien), l’investigation de contact ciblée dans les sites de déplacés en </w:t>
      </w:r>
      <w:r w:rsidR="00F075F9" w:rsidRPr="00F075F9">
        <w:rPr>
          <w:lang w:val="fr-CD"/>
        </w:rPr>
        <w:t>Ituri, le</w:t>
      </w:r>
      <w:r w:rsidRPr="00F075F9">
        <w:rPr>
          <w:lang w:val="fr-CD"/>
        </w:rPr>
        <w:t xml:space="preserve"> suivi rigoureux par les superviseurs LMIS avec l’attribution ciblée des sujets index TB à chaque RECO au Nord-Ubangi, ainsi que l’implication des relais polyvalents RSS soutenus par le Fonds Mondial et GAVI au Maniema. La mise en place de la traçabilité des données entre DHIS2 et les registres de tuberculose a aussi réduit le sous-rapportage, notamment au Bas-Uélé.</w:t>
      </w:r>
    </w:p>
    <w:p w14:paraId="5C153B73" w14:textId="05D4F7A5" w:rsidR="001F6203" w:rsidRPr="00F075F9" w:rsidRDefault="001F6203" w:rsidP="001F6203">
      <w:pPr>
        <w:jc w:val="both"/>
        <w:rPr>
          <w:lang w:val="fr-CD"/>
        </w:rPr>
      </w:pPr>
      <w:r w:rsidRPr="00F075F9">
        <w:rPr>
          <w:lang w:val="fr-CD"/>
        </w:rPr>
        <w:t xml:space="preserve">En revanche, </w:t>
      </w:r>
      <w:proofErr w:type="spellStart"/>
      <w:r w:rsidRPr="00F075F9">
        <w:rPr>
          <w:b/>
          <w:bCs/>
          <w:lang w:val="fr-CD"/>
        </w:rPr>
        <w:t>Tshopo</w:t>
      </w:r>
      <w:proofErr w:type="spellEnd"/>
      <w:r w:rsidRPr="00F075F9">
        <w:rPr>
          <w:b/>
          <w:bCs/>
          <w:lang w:val="fr-CD"/>
        </w:rPr>
        <w:t xml:space="preserve"> </w:t>
      </w:r>
      <w:r w:rsidR="00D5167B" w:rsidRPr="00F075F9">
        <w:rPr>
          <w:b/>
          <w:bCs/>
          <w:lang w:val="fr-CD"/>
        </w:rPr>
        <w:t>(18</w:t>
      </w:r>
      <w:r w:rsidRPr="00F075F9">
        <w:rPr>
          <w:b/>
          <w:bCs/>
          <w:lang w:val="fr-CD"/>
        </w:rPr>
        <w:t>%),</w:t>
      </w:r>
      <w:r w:rsidRPr="00F075F9">
        <w:rPr>
          <w:lang w:val="fr-CD"/>
        </w:rPr>
        <w:t xml:space="preserve"> </w:t>
      </w:r>
      <w:r w:rsidRPr="00F075F9">
        <w:rPr>
          <w:b/>
          <w:bCs/>
          <w:lang w:val="fr-CD"/>
        </w:rPr>
        <w:t xml:space="preserve">Kwilu </w:t>
      </w:r>
      <w:r w:rsidR="00F075F9" w:rsidRPr="00F075F9">
        <w:rPr>
          <w:b/>
          <w:bCs/>
          <w:lang w:val="fr-CD"/>
        </w:rPr>
        <w:t>(17</w:t>
      </w:r>
      <w:r w:rsidRPr="00F075F9">
        <w:rPr>
          <w:b/>
          <w:bCs/>
          <w:lang w:val="fr-CD"/>
        </w:rPr>
        <w:t>%),</w:t>
      </w:r>
      <w:r w:rsidRPr="00F075F9">
        <w:rPr>
          <w:lang w:val="fr-CD"/>
        </w:rPr>
        <w:t xml:space="preserve"> </w:t>
      </w:r>
      <w:r w:rsidRPr="00F075F9">
        <w:rPr>
          <w:b/>
          <w:bCs/>
          <w:lang w:val="fr-CD"/>
        </w:rPr>
        <w:t>Kwango (13%)</w:t>
      </w:r>
      <w:r w:rsidRPr="00F075F9">
        <w:rPr>
          <w:lang w:val="fr-CD"/>
        </w:rPr>
        <w:t xml:space="preserve">, </w:t>
      </w:r>
      <w:r w:rsidRPr="00F075F9">
        <w:rPr>
          <w:b/>
          <w:bCs/>
          <w:lang w:val="fr-CD"/>
        </w:rPr>
        <w:t xml:space="preserve">Kinshasa (11%), </w:t>
      </w:r>
      <w:proofErr w:type="spellStart"/>
      <w:r w:rsidRPr="00F075F9">
        <w:rPr>
          <w:b/>
          <w:bCs/>
          <w:lang w:val="fr-CD"/>
        </w:rPr>
        <w:t>Maindombe</w:t>
      </w:r>
      <w:proofErr w:type="spellEnd"/>
      <w:r w:rsidRPr="00F075F9">
        <w:rPr>
          <w:b/>
          <w:bCs/>
          <w:lang w:val="fr-CD"/>
        </w:rPr>
        <w:t xml:space="preserve"> (11%) etc., </w:t>
      </w:r>
      <w:r w:rsidRPr="00F075F9">
        <w:rPr>
          <w:lang w:val="fr-CD"/>
        </w:rPr>
        <w:t xml:space="preserve">affichent des résultats nettement inférieurs à la cible, reflétant des difficultés telles que la démotivation des RECO liée à l’arrêt de paiement des frais de transport depuis S1 2023 et des ruptures de cartouches </w:t>
      </w:r>
      <w:proofErr w:type="spellStart"/>
      <w:r w:rsidRPr="00F075F9">
        <w:rPr>
          <w:lang w:val="fr-CD"/>
        </w:rPr>
        <w:t>Genexpert</w:t>
      </w:r>
      <w:proofErr w:type="spellEnd"/>
      <w:r w:rsidRPr="00F075F9">
        <w:rPr>
          <w:lang w:val="fr-CD"/>
        </w:rPr>
        <w:t xml:space="preserve"> pour l’analyse des échantillons, freins majeurs à l’investigation et au référencement des cas présumés.</w:t>
      </w:r>
    </w:p>
    <w:p w14:paraId="3596A25D" w14:textId="77777777" w:rsidR="001F6203" w:rsidRPr="00F075F9" w:rsidRDefault="001F6203" w:rsidP="001F6203">
      <w:pPr>
        <w:jc w:val="both"/>
        <w:rPr>
          <w:b/>
          <w:bCs/>
          <w:lang w:val="fr-CD"/>
        </w:rPr>
      </w:pPr>
      <w:r w:rsidRPr="00F075F9">
        <w:rPr>
          <w:lang w:val="fr-CD"/>
        </w:rPr>
        <w:t xml:space="preserve">Des </w:t>
      </w:r>
      <w:r w:rsidRPr="00F075F9">
        <w:rPr>
          <w:b/>
          <w:bCs/>
          <w:lang w:val="fr-CD"/>
        </w:rPr>
        <w:t>mesures d’amélioration sont envisagées notamment, (i) la r</w:t>
      </w:r>
      <w:r w:rsidRPr="00F075F9">
        <w:rPr>
          <w:lang w:val="fr-CD"/>
        </w:rPr>
        <w:t>eprise du paiement mensuel des frais de transport aux RECO, en cours dès juillet 2025, afin de renforcer leur engagement dans l’investigation des contacts et le référencement des cas présumés, (ii) le renforcement du suivi de l’investigation des contacts lors des missions de supervision des sous-récipiendaires, pour assurer une meilleure couverture et efficacité des activités communautaires, et en fin (iii) l’évaluation systématique de la qualité des données dans les CDT, visant à identifier et corriger les écarts entre les registres de tuberculose et les données saisies dans DHIS2, afin d’améliorer la fiabilité des rapports.</w:t>
      </w:r>
    </w:p>
    <w:p w14:paraId="6EDF9FBA" w14:textId="77777777" w:rsidR="001F6203" w:rsidRPr="00F075F9" w:rsidRDefault="001F6203" w:rsidP="001F6203">
      <w:pPr>
        <w:jc w:val="both"/>
        <w:rPr>
          <w:lang w:val="fr-CD"/>
        </w:rPr>
      </w:pPr>
      <w:r w:rsidRPr="00F075F9">
        <w:rPr>
          <w:lang w:val="fr-CD"/>
        </w:rPr>
        <w:t>Avec la reprise des paiements, le renforcement du suivi, et la correction des sous-rapportages, une amélioration des résultats est attendue pour le S2 2025, avec une prévision optimiste de retour vers la cible de 32% voire plus, notamment dans les provinces déjà dynamiques.</w:t>
      </w:r>
      <w:bookmarkEnd w:id="16"/>
    </w:p>
    <w:p w14:paraId="3229314C" w14:textId="7766B911" w:rsidR="00C14E28" w:rsidRDefault="00C14E28" w:rsidP="001F6203">
      <w:pPr>
        <w:jc w:val="both"/>
        <w:rPr>
          <w:lang w:val="fr-CD"/>
        </w:rPr>
      </w:pPr>
      <w:r w:rsidRPr="00F075F9">
        <w:rPr>
          <w:lang w:val="fr-CD"/>
        </w:rPr>
        <w:lastRenderedPageBreak/>
        <w:t>Concernant la rupture de stock</w:t>
      </w:r>
      <w:r w:rsidR="00F76D09" w:rsidRPr="00F075F9">
        <w:rPr>
          <w:lang w:val="fr-CD"/>
        </w:rPr>
        <w:t xml:space="preserve"> des cartouches, nous pensons adopter la stratégie de distribution des cart</w:t>
      </w:r>
      <w:r w:rsidR="008E0BCB" w:rsidRPr="00F075F9">
        <w:rPr>
          <w:lang w:val="fr-CD"/>
        </w:rPr>
        <w:t xml:space="preserve">ouches dans les sites </w:t>
      </w:r>
      <w:r w:rsidR="005B26A1" w:rsidRPr="00F075F9">
        <w:rPr>
          <w:lang w:val="fr-CD"/>
        </w:rPr>
        <w:t xml:space="preserve">avec machines </w:t>
      </w:r>
      <w:proofErr w:type="spellStart"/>
      <w:r w:rsidR="005B26A1" w:rsidRPr="00F075F9">
        <w:rPr>
          <w:lang w:val="fr-CD"/>
        </w:rPr>
        <w:t>G</w:t>
      </w:r>
      <w:r w:rsidR="008E0BCB" w:rsidRPr="00F075F9">
        <w:rPr>
          <w:lang w:val="fr-CD"/>
        </w:rPr>
        <w:t>eneXpert</w:t>
      </w:r>
      <w:proofErr w:type="spellEnd"/>
      <w:r w:rsidR="008E0BCB" w:rsidRPr="00F075F9">
        <w:rPr>
          <w:lang w:val="fr-CD"/>
        </w:rPr>
        <w:t xml:space="preserve"> </w:t>
      </w:r>
      <w:r w:rsidR="00836D84" w:rsidRPr="00F075F9">
        <w:rPr>
          <w:lang w:val="fr-CD"/>
        </w:rPr>
        <w:t xml:space="preserve">par les Coordination provinciales de la lutte contre la tuberculose (CPLT) </w:t>
      </w:r>
      <w:r w:rsidR="003B4829" w:rsidRPr="00F075F9">
        <w:rPr>
          <w:lang w:val="fr-CD"/>
        </w:rPr>
        <w:t xml:space="preserve">en charge d’encadrement des CDT (Centre de </w:t>
      </w:r>
      <w:r w:rsidR="004B78D5" w:rsidRPr="00F075F9">
        <w:rPr>
          <w:lang w:val="fr-CD"/>
        </w:rPr>
        <w:t>Dépistage et Traitement de la Tuberculose).</w:t>
      </w:r>
      <w:bookmarkEnd w:id="0"/>
      <w:bookmarkEnd w:id="7"/>
    </w:p>
    <w:sectPr w:rsidR="00C14E28" w:rsidSect="00F22E39">
      <w:footerReference w:type="default" r:id="rId12"/>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70F2A" w14:textId="77777777" w:rsidR="00454FA1" w:rsidRDefault="00454FA1" w:rsidP="0047162D">
      <w:pPr>
        <w:spacing w:after="0" w:line="240" w:lineRule="auto"/>
      </w:pPr>
      <w:r>
        <w:separator/>
      </w:r>
    </w:p>
  </w:endnote>
  <w:endnote w:type="continuationSeparator" w:id="0">
    <w:p w14:paraId="77F98F9F" w14:textId="77777777" w:rsidR="00454FA1" w:rsidRDefault="00454FA1" w:rsidP="00471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9370"/>
      <w:docPartObj>
        <w:docPartGallery w:val="Page Numbers (Bottom of Page)"/>
        <w:docPartUnique/>
      </w:docPartObj>
    </w:sdtPr>
    <w:sdtContent>
      <w:p w14:paraId="285B264E" w14:textId="60313D16" w:rsidR="006E38F9" w:rsidRDefault="006E38F9">
        <w:pPr>
          <w:pStyle w:val="Pieddepage"/>
        </w:pPr>
        <w:r>
          <w:rPr>
            <w:noProof/>
          </w:rPr>
          <mc:AlternateContent>
            <mc:Choice Requires="wps">
              <w:drawing>
                <wp:anchor distT="0" distB="0" distL="114300" distR="114300" simplePos="0" relativeHeight="251658752" behindDoc="0" locked="0" layoutInCell="0" allowOverlap="1" wp14:anchorId="12D60C13" wp14:editId="77C89C40">
                  <wp:simplePos x="0" y="0"/>
                  <wp:positionH relativeFrom="rightMargin">
                    <wp:align>left</wp:align>
                  </wp:positionH>
                  <mc:AlternateContent>
                    <mc:Choice Requires="wp14">
                      <wp:positionV relativeFrom="bottomMargin">
                        <wp14:pctPosVOffset>7000</wp14:pctPosVOffset>
                      </wp:positionV>
                    </mc:Choice>
                    <mc:Fallback>
                      <wp:positionV relativeFrom="page">
                        <wp:posOffset>9841230</wp:posOffset>
                      </wp:positionV>
                    </mc:Fallback>
                  </mc:AlternateContent>
                  <wp:extent cx="368300" cy="274320"/>
                  <wp:effectExtent l="9525" t="9525" r="12700" b="11430"/>
                  <wp:wrapNone/>
                  <wp:docPr id="98041049"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3899F15F" w14:textId="77777777" w:rsidR="006E38F9" w:rsidRDefault="006E38F9">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D60C1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26" type="#_x0000_t65" style="position:absolute;margin-left:0;margin-top:0;width:29pt;height:21.6pt;z-index:25165875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3899F15F" w14:textId="77777777" w:rsidR="006E38F9" w:rsidRDefault="006E38F9">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CE04A" w14:textId="77777777" w:rsidR="00454FA1" w:rsidRDefault="00454FA1" w:rsidP="0047162D">
      <w:pPr>
        <w:spacing w:after="0" w:line="240" w:lineRule="auto"/>
      </w:pPr>
      <w:r>
        <w:separator/>
      </w:r>
    </w:p>
  </w:footnote>
  <w:footnote w:type="continuationSeparator" w:id="0">
    <w:p w14:paraId="6CF43322" w14:textId="77777777" w:rsidR="00454FA1" w:rsidRDefault="00454FA1" w:rsidP="004716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BF9"/>
    <w:multiLevelType w:val="hybridMultilevel"/>
    <w:tmpl w:val="94B443D0"/>
    <w:lvl w:ilvl="0" w:tplc="59046A10">
      <w:numFmt w:val="bullet"/>
      <w:lvlText w:val="-"/>
      <w:lvlJc w:val="left"/>
      <w:pPr>
        <w:ind w:left="720" w:hanging="360"/>
      </w:pPr>
      <w:rPr>
        <w:rFonts w:ascii="Calibri" w:eastAsiaTheme="minorHAnsi" w:hAnsi="Calibri" w:cstheme="minorBidi" w:hint="default"/>
        <w:b/>
        <w:color w:val="000000" w:themeColor="text1"/>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6E5EBF"/>
    <w:multiLevelType w:val="hybridMultilevel"/>
    <w:tmpl w:val="A5C4BA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F55F38"/>
    <w:multiLevelType w:val="hybridMultilevel"/>
    <w:tmpl w:val="5922E3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D710B3"/>
    <w:multiLevelType w:val="multilevel"/>
    <w:tmpl w:val="963C0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71F4A"/>
    <w:multiLevelType w:val="hybridMultilevel"/>
    <w:tmpl w:val="2A926774"/>
    <w:lvl w:ilvl="0" w:tplc="75A60372">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A56010"/>
    <w:multiLevelType w:val="hybridMultilevel"/>
    <w:tmpl w:val="4650CE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2761F9"/>
    <w:multiLevelType w:val="hybridMultilevel"/>
    <w:tmpl w:val="D6E6C9D2"/>
    <w:lvl w:ilvl="0" w:tplc="040C0001">
      <w:start w:val="1"/>
      <w:numFmt w:val="bullet"/>
      <w:lvlText w:val=""/>
      <w:lvlJc w:val="left"/>
      <w:pPr>
        <w:ind w:left="767" w:hanging="360"/>
      </w:pPr>
      <w:rPr>
        <w:rFonts w:ascii="Symbol" w:hAnsi="Symbol"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7" w15:restartNumberingAfterBreak="0">
    <w:nsid w:val="21B722BC"/>
    <w:multiLevelType w:val="hybridMultilevel"/>
    <w:tmpl w:val="9B1E589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21DF1FF6"/>
    <w:multiLevelType w:val="hybridMultilevel"/>
    <w:tmpl w:val="E12CF090"/>
    <w:lvl w:ilvl="0" w:tplc="BEF0714C">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28655694"/>
    <w:multiLevelType w:val="multilevel"/>
    <w:tmpl w:val="8370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73D23"/>
    <w:multiLevelType w:val="hybridMultilevel"/>
    <w:tmpl w:val="5992C0AC"/>
    <w:lvl w:ilvl="0" w:tplc="59046A10">
      <w:numFmt w:val="bullet"/>
      <w:lvlText w:val="-"/>
      <w:lvlJc w:val="left"/>
      <w:pPr>
        <w:ind w:left="720" w:hanging="360"/>
      </w:pPr>
      <w:rPr>
        <w:rFonts w:ascii="Calibri" w:eastAsiaTheme="minorHAnsi" w:hAnsi="Calibri" w:cstheme="minorBidi" w:hint="default"/>
        <w:b/>
        <w:color w:val="000000" w:themeColor="text1"/>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0E273A"/>
    <w:multiLevelType w:val="hybridMultilevel"/>
    <w:tmpl w:val="2E84D0F6"/>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2" w15:restartNumberingAfterBreak="0">
    <w:nsid w:val="39C1697C"/>
    <w:multiLevelType w:val="hybridMultilevel"/>
    <w:tmpl w:val="3A5AED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641B9D"/>
    <w:multiLevelType w:val="hybridMultilevel"/>
    <w:tmpl w:val="17D4A336"/>
    <w:lvl w:ilvl="0" w:tplc="7A220CF2">
      <w:start w:val="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1926CF"/>
    <w:multiLevelType w:val="hybridMultilevel"/>
    <w:tmpl w:val="3A32EA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FC3D56"/>
    <w:multiLevelType w:val="hybridMultilevel"/>
    <w:tmpl w:val="FF26E8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3F2757"/>
    <w:multiLevelType w:val="hybridMultilevel"/>
    <w:tmpl w:val="0C1AB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37D3A5B"/>
    <w:multiLevelType w:val="hybridMultilevel"/>
    <w:tmpl w:val="DC425096"/>
    <w:lvl w:ilvl="0" w:tplc="75A60372">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42F613A"/>
    <w:multiLevelType w:val="hybridMultilevel"/>
    <w:tmpl w:val="A798DF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504801"/>
    <w:multiLevelType w:val="hybridMultilevel"/>
    <w:tmpl w:val="196ECF64"/>
    <w:lvl w:ilvl="0" w:tplc="75A60372">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8905BBE"/>
    <w:multiLevelType w:val="hybridMultilevel"/>
    <w:tmpl w:val="C2A248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BD364D5"/>
    <w:multiLevelType w:val="hybridMultilevel"/>
    <w:tmpl w:val="FB82670E"/>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2" w15:restartNumberingAfterBreak="0">
    <w:nsid w:val="5C394D68"/>
    <w:multiLevelType w:val="hybridMultilevel"/>
    <w:tmpl w:val="AE64B874"/>
    <w:lvl w:ilvl="0" w:tplc="7A220CF2">
      <w:start w:val="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39642EC"/>
    <w:multiLevelType w:val="hybridMultilevel"/>
    <w:tmpl w:val="4C0A9CAE"/>
    <w:lvl w:ilvl="0" w:tplc="7A220CF2">
      <w:start w:val="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618053E"/>
    <w:multiLevelType w:val="multilevel"/>
    <w:tmpl w:val="AE0A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C61AEC"/>
    <w:multiLevelType w:val="hybridMultilevel"/>
    <w:tmpl w:val="FF26E8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5B6098"/>
    <w:multiLevelType w:val="hybridMultilevel"/>
    <w:tmpl w:val="C6262D5E"/>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num w:numId="1" w16cid:durableId="377050203">
    <w:abstractNumId w:val="8"/>
  </w:num>
  <w:num w:numId="2" w16cid:durableId="1577130936">
    <w:abstractNumId w:val="10"/>
  </w:num>
  <w:num w:numId="3" w16cid:durableId="2060547936">
    <w:abstractNumId w:val="0"/>
  </w:num>
  <w:num w:numId="4" w16cid:durableId="1569194259">
    <w:abstractNumId w:val="22"/>
  </w:num>
  <w:num w:numId="5" w16cid:durableId="370616134">
    <w:abstractNumId w:val="23"/>
  </w:num>
  <w:num w:numId="6" w16cid:durableId="1795172435">
    <w:abstractNumId w:val="13"/>
  </w:num>
  <w:num w:numId="7" w16cid:durableId="1487240820">
    <w:abstractNumId w:val="1"/>
  </w:num>
  <w:num w:numId="8" w16cid:durableId="1446077530">
    <w:abstractNumId w:val="7"/>
  </w:num>
  <w:num w:numId="9" w16cid:durableId="1368024011">
    <w:abstractNumId w:val="6"/>
  </w:num>
  <w:num w:numId="10" w16cid:durableId="1346783968">
    <w:abstractNumId w:val="15"/>
  </w:num>
  <w:num w:numId="11" w16cid:durableId="1912233666">
    <w:abstractNumId w:val="9"/>
  </w:num>
  <w:num w:numId="12" w16cid:durableId="649334753">
    <w:abstractNumId w:val="20"/>
  </w:num>
  <w:num w:numId="13" w16cid:durableId="2074965216">
    <w:abstractNumId w:val="24"/>
  </w:num>
  <w:num w:numId="14" w16cid:durableId="1918245144">
    <w:abstractNumId w:val="3"/>
  </w:num>
  <w:num w:numId="15" w16cid:durableId="2115439304">
    <w:abstractNumId w:val="25"/>
  </w:num>
  <w:num w:numId="16" w16cid:durableId="311063078">
    <w:abstractNumId w:val="5"/>
  </w:num>
  <w:num w:numId="17" w16cid:durableId="2111049165">
    <w:abstractNumId w:val="14"/>
  </w:num>
  <w:num w:numId="18" w16cid:durableId="37974262">
    <w:abstractNumId w:val="12"/>
  </w:num>
  <w:num w:numId="19" w16cid:durableId="1986859735">
    <w:abstractNumId w:val="16"/>
  </w:num>
  <w:num w:numId="20" w16cid:durableId="724527094">
    <w:abstractNumId w:val="2"/>
  </w:num>
  <w:num w:numId="21" w16cid:durableId="954404231">
    <w:abstractNumId w:val="18"/>
  </w:num>
  <w:num w:numId="22" w16cid:durableId="1887258110">
    <w:abstractNumId w:val="21"/>
  </w:num>
  <w:num w:numId="23" w16cid:durableId="224416406">
    <w:abstractNumId w:val="26"/>
  </w:num>
  <w:num w:numId="24" w16cid:durableId="1730962039">
    <w:abstractNumId w:val="11"/>
  </w:num>
  <w:num w:numId="25" w16cid:durableId="205486598">
    <w:abstractNumId w:val="4"/>
  </w:num>
  <w:num w:numId="26" w16cid:durableId="1843856692">
    <w:abstractNumId w:val="19"/>
  </w:num>
  <w:num w:numId="27" w16cid:durableId="9424928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7A0"/>
    <w:rsid w:val="00003B4A"/>
    <w:rsid w:val="00006185"/>
    <w:rsid w:val="000102E7"/>
    <w:rsid w:val="00013C16"/>
    <w:rsid w:val="00014592"/>
    <w:rsid w:val="0003274C"/>
    <w:rsid w:val="00037530"/>
    <w:rsid w:val="000377B4"/>
    <w:rsid w:val="00041306"/>
    <w:rsid w:val="00041B01"/>
    <w:rsid w:val="00044518"/>
    <w:rsid w:val="000456EF"/>
    <w:rsid w:val="00050838"/>
    <w:rsid w:val="00054EF3"/>
    <w:rsid w:val="0005512C"/>
    <w:rsid w:val="00060CB0"/>
    <w:rsid w:val="000627D1"/>
    <w:rsid w:val="00062C9A"/>
    <w:rsid w:val="000673B0"/>
    <w:rsid w:val="000701A6"/>
    <w:rsid w:val="00072B37"/>
    <w:rsid w:val="00080264"/>
    <w:rsid w:val="00082BD8"/>
    <w:rsid w:val="00083E93"/>
    <w:rsid w:val="00084474"/>
    <w:rsid w:val="0008452A"/>
    <w:rsid w:val="00085486"/>
    <w:rsid w:val="000872DD"/>
    <w:rsid w:val="00092182"/>
    <w:rsid w:val="000962C5"/>
    <w:rsid w:val="0009781E"/>
    <w:rsid w:val="000A14F2"/>
    <w:rsid w:val="000A2FE6"/>
    <w:rsid w:val="000A57F2"/>
    <w:rsid w:val="000B2D2E"/>
    <w:rsid w:val="000B7108"/>
    <w:rsid w:val="000C06EB"/>
    <w:rsid w:val="000C4C79"/>
    <w:rsid w:val="000D1537"/>
    <w:rsid w:val="000D2471"/>
    <w:rsid w:val="000D48CD"/>
    <w:rsid w:val="000D4AE5"/>
    <w:rsid w:val="000D5DF8"/>
    <w:rsid w:val="000D6557"/>
    <w:rsid w:val="000E3A9C"/>
    <w:rsid w:val="000F159C"/>
    <w:rsid w:val="000F58A0"/>
    <w:rsid w:val="000F7805"/>
    <w:rsid w:val="00100AAB"/>
    <w:rsid w:val="00104142"/>
    <w:rsid w:val="00111805"/>
    <w:rsid w:val="001202D1"/>
    <w:rsid w:val="001215F1"/>
    <w:rsid w:val="001220DB"/>
    <w:rsid w:val="001267B0"/>
    <w:rsid w:val="00127531"/>
    <w:rsid w:val="001309A5"/>
    <w:rsid w:val="00142D75"/>
    <w:rsid w:val="001434EC"/>
    <w:rsid w:val="00147512"/>
    <w:rsid w:val="00147CF3"/>
    <w:rsid w:val="00152C57"/>
    <w:rsid w:val="00153746"/>
    <w:rsid w:val="0015621E"/>
    <w:rsid w:val="00156851"/>
    <w:rsid w:val="00162E2E"/>
    <w:rsid w:val="00162F2E"/>
    <w:rsid w:val="001657F9"/>
    <w:rsid w:val="0016584D"/>
    <w:rsid w:val="0016648C"/>
    <w:rsid w:val="00167218"/>
    <w:rsid w:val="0017107B"/>
    <w:rsid w:val="0017151A"/>
    <w:rsid w:val="00172BCB"/>
    <w:rsid w:val="00174DCF"/>
    <w:rsid w:val="00175AAA"/>
    <w:rsid w:val="00181879"/>
    <w:rsid w:val="00181B82"/>
    <w:rsid w:val="00186128"/>
    <w:rsid w:val="0018792B"/>
    <w:rsid w:val="00190D51"/>
    <w:rsid w:val="001A0A70"/>
    <w:rsid w:val="001A66A4"/>
    <w:rsid w:val="001B0640"/>
    <w:rsid w:val="001C57B9"/>
    <w:rsid w:val="001C6A99"/>
    <w:rsid w:val="001D0861"/>
    <w:rsid w:val="001D22AF"/>
    <w:rsid w:val="001D2805"/>
    <w:rsid w:val="001D5C68"/>
    <w:rsid w:val="001D7B88"/>
    <w:rsid w:val="001D7FA7"/>
    <w:rsid w:val="001E06CF"/>
    <w:rsid w:val="001F3F35"/>
    <w:rsid w:val="001F4E83"/>
    <w:rsid w:val="001F6203"/>
    <w:rsid w:val="001F64B4"/>
    <w:rsid w:val="002018BE"/>
    <w:rsid w:val="002034E3"/>
    <w:rsid w:val="0020611A"/>
    <w:rsid w:val="002119EC"/>
    <w:rsid w:val="002201C9"/>
    <w:rsid w:val="00222354"/>
    <w:rsid w:val="0022329A"/>
    <w:rsid w:val="00224546"/>
    <w:rsid w:val="00224591"/>
    <w:rsid w:val="00231E25"/>
    <w:rsid w:val="00232E68"/>
    <w:rsid w:val="002347A4"/>
    <w:rsid w:val="00246826"/>
    <w:rsid w:val="002469C4"/>
    <w:rsid w:val="002534EE"/>
    <w:rsid w:val="002604BC"/>
    <w:rsid w:val="00262E8F"/>
    <w:rsid w:val="00262F5C"/>
    <w:rsid w:val="0026441C"/>
    <w:rsid w:val="00264B22"/>
    <w:rsid w:val="002670FD"/>
    <w:rsid w:val="00272830"/>
    <w:rsid w:val="002729A1"/>
    <w:rsid w:val="0027543B"/>
    <w:rsid w:val="00281AF7"/>
    <w:rsid w:val="00283401"/>
    <w:rsid w:val="002903A8"/>
    <w:rsid w:val="00291D83"/>
    <w:rsid w:val="002936BA"/>
    <w:rsid w:val="00295D86"/>
    <w:rsid w:val="00296AE8"/>
    <w:rsid w:val="002A77DD"/>
    <w:rsid w:val="002B0396"/>
    <w:rsid w:val="002B130B"/>
    <w:rsid w:val="002B41B9"/>
    <w:rsid w:val="002B4EDB"/>
    <w:rsid w:val="002B519D"/>
    <w:rsid w:val="002B6285"/>
    <w:rsid w:val="002B7EE6"/>
    <w:rsid w:val="002C0121"/>
    <w:rsid w:val="002C0478"/>
    <w:rsid w:val="002C172E"/>
    <w:rsid w:val="002C4626"/>
    <w:rsid w:val="002D045B"/>
    <w:rsid w:val="002D06F9"/>
    <w:rsid w:val="002D29EE"/>
    <w:rsid w:val="002D6753"/>
    <w:rsid w:val="002E4E63"/>
    <w:rsid w:val="002E7894"/>
    <w:rsid w:val="002E7BF9"/>
    <w:rsid w:val="002F018E"/>
    <w:rsid w:val="002F0956"/>
    <w:rsid w:val="002F0EF6"/>
    <w:rsid w:val="002F2CF0"/>
    <w:rsid w:val="002F6348"/>
    <w:rsid w:val="00300FD8"/>
    <w:rsid w:val="003035DD"/>
    <w:rsid w:val="00307D1D"/>
    <w:rsid w:val="00311DC8"/>
    <w:rsid w:val="00312753"/>
    <w:rsid w:val="003142E7"/>
    <w:rsid w:val="003159B0"/>
    <w:rsid w:val="003179D4"/>
    <w:rsid w:val="00317BC2"/>
    <w:rsid w:val="00320D72"/>
    <w:rsid w:val="00323B3E"/>
    <w:rsid w:val="003243B9"/>
    <w:rsid w:val="00324D4D"/>
    <w:rsid w:val="00333D2F"/>
    <w:rsid w:val="00335495"/>
    <w:rsid w:val="00340C7B"/>
    <w:rsid w:val="00345E77"/>
    <w:rsid w:val="00350C86"/>
    <w:rsid w:val="00352541"/>
    <w:rsid w:val="00352EAC"/>
    <w:rsid w:val="003562C0"/>
    <w:rsid w:val="00370465"/>
    <w:rsid w:val="003728D0"/>
    <w:rsid w:val="00372DC0"/>
    <w:rsid w:val="00372F4D"/>
    <w:rsid w:val="003819F1"/>
    <w:rsid w:val="00382842"/>
    <w:rsid w:val="003831F3"/>
    <w:rsid w:val="00393A2B"/>
    <w:rsid w:val="003A0834"/>
    <w:rsid w:val="003A1DC4"/>
    <w:rsid w:val="003A4A38"/>
    <w:rsid w:val="003A7EAF"/>
    <w:rsid w:val="003B10C7"/>
    <w:rsid w:val="003B2ACE"/>
    <w:rsid w:val="003B351F"/>
    <w:rsid w:val="003B4829"/>
    <w:rsid w:val="003B57FD"/>
    <w:rsid w:val="003B5FF9"/>
    <w:rsid w:val="003B6044"/>
    <w:rsid w:val="003B67F9"/>
    <w:rsid w:val="003B6E21"/>
    <w:rsid w:val="003B7567"/>
    <w:rsid w:val="003C0B94"/>
    <w:rsid w:val="003C3E15"/>
    <w:rsid w:val="003D4C05"/>
    <w:rsid w:val="003D515E"/>
    <w:rsid w:val="003D55D0"/>
    <w:rsid w:val="003D5A20"/>
    <w:rsid w:val="003D6720"/>
    <w:rsid w:val="003E0D52"/>
    <w:rsid w:val="003E173E"/>
    <w:rsid w:val="003E45DC"/>
    <w:rsid w:val="003F2633"/>
    <w:rsid w:val="003F2D2B"/>
    <w:rsid w:val="003F3C97"/>
    <w:rsid w:val="0040050F"/>
    <w:rsid w:val="004017F1"/>
    <w:rsid w:val="00403514"/>
    <w:rsid w:val="00413A7D"/>
    <w:rsid w:val="00415301"/>
    <w:rsid w:val="00416F99"/>
    <w:rsid w:val="00420DDF"/>
    <w:rsid w:val="00423DA5"/>
    <w:rsid w:val="00441F43"/>
    <w:rsid w:val="004441E4"/>
    <w:rsid w:val="00446074"/>
    <w:rsid w:val="00446E81"/>
    <w:rsid w:val="00454FA1"/>
    <w:rsid w:val="0045578A"/>
    <w:rsid w:val="00460E5F"/>
    <w:rsid w:val="00462BFA"/>
    <w:rsid w:val="00466086"/>
    <w:rsid w:val="0047162D"/>
    <w:rsid w:val="00474CDA"/>
    <w:rsid w:val="004758E9"/>
    <w:rsid w:val="004761A4"/>
    <w:rsid w:val="00476E8D"/>
    <w:rsid w:val="00481D7B"/>
    <w:rsid w:val="0049408B"/>
    <w:rsid w:val="004973F0"/>
    <w:rsid w:val="004A00F0"/>
    <w:rsid w:val="004A0F89"/>
    <w:rsid w:val="004A17FF"/>
    <w:rsid w:val="004A328B"/>
    <w:rsid w:val="004B2304"/>
    <w:rsid w:val="004B27E3"/>
    <w:rsid w:val="004B78D5"/>
    <w:rsid w:val="004C1B97"/>
    <w:rsid w:val="004C7CF0"/>
    <w:rsid w:val="004D03E4"/>
    <w:rsid w:val="004D0A08"/>
    <w:rsid w:val="004D3611"/>
    <w:rsid w:val="004D3A7E"/>
    <w:rsid w:val="004D4749"/>
    <w:rsid w:val="004E29F4"/>
    <w:rsid w:val="004E7FD3"/>
    <w:rsid w:val="004F0D9E"/>
    <w:rsid w:val="004F2916"/>
    <w:rsid w:val="004F36CD"/>
    <w:rsid w:val="004F605F"/>
    <w:rsid w:val="004F6B77"/>
    <w:rsid w:val="004F6F3B"/>
    <w:rsid w:val="004F7F53"/>
    <w:rsid w:val="00501D3E"/>
    <w:rsid w:val="00504CCB"/>
    <w:rsid w:val="0051353A"/>
    <w:rsid w:val="00517939"/>
    <w:rsid w:val="00522F72"/>
    <w:rsid w:val="00530D49"/>
    <w:rsid w:val="005326BA"/>
    <w:rsid w:val="005344A6"/>
    <w:rsid w:val="0053662A"/>
    <w:rsid w:val="005375E1"/>
    <w:rsid w:val="00542276"/>
    <w:rsid w:val="00551873"/>
    <w:rsid w:val="005523BA"/>
    <w:rsid w:val="005539C2"/>
    <w:rsid w:val="00553BF0"/>
    <w:rsid w:val="00557635"/>
    <w:rsid w:val="00557B8C"/>
    <w:rsid w:val="005600DA"/>
    <w:rsid w:val="0056639D"/>
    <w:rsid w:val="005710C5"/>
    <w:rsid w:val="00574D7C"/>
    <w:rsid w:val="005818C4"/>
    <w:rsid w:val="00583556"/>
    <w:rsid w:val="005840E6"/>
    <w:rsid w:val="00590711"/>
    <w:rsid w:val="00591AEF"/>
    <w:rsid w:val="00592490"/>
    <w:rsid w:val="00593119"/>
    <w:rsid w:val="00593B12"/>
    <w:rsid w:val="00595526"/>
    <w:rsid w:val="00595DDB"/>
    <w:rsid w:val="005A4D84"/>
    <w:rsid w:val="005A6B74"/>
    <w:rsid w:val="005B0D5C"/>
    <w:rsid w:val="005B26A1"/>
    <w:rsid w:val="005B3A30"/>
    <w:rsid w:val="005B518A"/>
    <w:rsid w:val="005B549A"/>
    <w:rsid w:val="005B6494"/>
    <w:rsid w:val="005B79E8"/>
    <w:rsid w:val="005C766F"/>
    <w:rsid w:val="005D45CE"/>
    <w:rsid w:val="005D665A"/>
    <w:rsid w:val="005E0569"/>
    <w:rsid w:val="005E0B03"/>
    <w:rsid w:val="005E2F9A"/>
    <w:rsid w:val="005E44F9"/>
    <w:rsid w:val="005E7CBD"/>
    <w:rsid w:val="005F036F"/>
    <w:rsid w:val="005F0868"/>
    <w:rsid w:val="005F2986"/>
    <w:rsid w:val="005F30C8"/>
    <w:rsid w:val="005F439D"/>
    <w:rsid w:val="00600416"/>
    <w:rsid w:val="00600581"/>
    <w:rsid w:val="006072DB"/>
    <w:rsid w:val="006109A2"/>
    <w:rsid w:val="00613440"/>
    <w:rsid w:val="006140F2"/>
    <w:rsid w:val="00614F9C"/>
    <w:rsid w:val="0061753F"/>
    <w:rsid w:val="00621416"/>
    <w:rsid w:val="0062342D"/>
    <w:rsid w:val="00624504"/>
    <w:rsid w:val="00631C32"/>
    <w:rsid w:val="00643B18"/>
    <w:rsid w:val="00644A3F"/>
    <w:rsid w:val="00644C07"/>
    <w:rsid w:val="00650D8D"/>
    <w:rsid w:val="00654B29"/>
    <w:rsid w:val="0065636F"/>
    <w:rsid w:val="00664C2D"/>
    <w:rsid w:val="006667D1"/>
    <w:rsid w:val="00670D2A"/>
    <w:rsid w:val="0068093F"/>
    <w:rsid w:val="00683E3B"/>
    <w:rsid w:val="006924AF"/>
    <w:rsid w:val="00693D49"/>
    <w:rsid w:val="00694682"/>
    <w:rsid w:val="006954ED"/>
    <w:rsid w:val="006970AD"/>
    <w:rsid w:val="006A0EAC"/>
    <w:rsid w:val="006A1D56"/>
    <w:rsid w:val="006A413D"/>
    <w:rsid w:val="006A41E7"/>
    <w:rsid w:val="006B22AA"/>
    <w:rsid w:val="006B2390"/>
    <w:rsid w:val="006B2F2D"/>
    <w:rsid w:val="006B4828"/>
    <w:rsid w:val="006B54F9"/>
    <w:rsid w:val="006B5A29"/>
    <w:rsid w:val="006C0072"/>
    <w:rsid w:val="006C289F"/>
    <w:rsid w:val="006D0385"/>
    <w:rsid w:val="006D38D6"/>
    <w:rsid w:val="006E0B9C"/>
    <w:rsid w:val="006E1DF8"/>
    <w:rsid w:val="006E38F9"/>
    <w:rsid w:val="006E670E"/>
    <w:rsid w:val="006F0F9E"/>
    <w:rsid w:val="006F3651"/>
    <w:rsid w:val="006F64C0"/>
    <w:rsid w:val="00701C63"/>
    <w:rsid w:val="00704119"/>
    <w:rsid w:val="0070429D"/>
    <w:rsid w:val="00722350"/>
    <w:rsid w:val="00722B46"/>
    <w:rsid w:val="0072381F"/>
    <w:rsid w:val="0072436E"/>
    <w:rsid w:val="00724525"/>
    <w:rsid w:val="00725181"/>
    <w:rsid w:val="007259CB"/>
    <w:rsid w:val="00732A83"/>
    <w:rsid w:val="00734606"/>
    <w:rsid w:val="00736509"/>
    <w:rsid w:val="00742AD9"/>
    <w:rsid w:val="00744C9B"/>
    <w:rsid w:val="00747774"/>
    <w:rsid w:val="007507DC"/>
    <w:rsid w:val="007517F2"/>
    <w:rsid w:val="00751C04"/>
    <w:rsid w:val="00753F03"/>
    <w:rsid w:val="0075409A"/>
    <w:rsid w:val="00755E00"/>
    <w:rsid w:val="00756AAD"/>
    <w:rsid w:val="00760BD2"/>
    <w:rsid w:val="00766806"/>
    <w:rsid w:val="00777276"/>
    <w:rsid w:val="00780B22"/>
    <w:rsid w:val="00784B9C"/>
    <w:rsid w:val="007850FA"/>
    <w:rsid w:val="00786BE6"/>
    <w:rsid w:val="00790641"/>
    <w:rsid w:val="00791BFA"/>
    <w:rsid w:val="00793203"/>
    <w:rsid w:val="007A0D2B"/>
    <w:rsid w:val="007A5437"/>
    <w:rsid w:val="007B351D"/>
    <w:rsid w:val="007C3F94"/>
    <w:rsid w:val="007C495B"/>
    <w:rsid w:val="007C62CF"/>
    <w:rsid w:val="007D02E1"/>
    <w:rsid w:val="007D103A"/>
    <w:rsid w:val="007D185E"/>
    <w:rsid w:val="007E27FD"/>
    <w:rsid w:val="007E4A84"/>
    <w:rsid w:val="007F024F"/>
    <w:rsid w:val="007F025C"/>
    <w:rsid w:val="007F3BAD"/>
    <w:rsid w:val="007F3BF4"/>
    <w:rsid w:val="007F6408"/>
    <w:rsid w:val="00800CF6"/>
    <w:rsid w:val="00803D00"/>
    <w:rsid w:val="0080466A"/>
    <w:rsid w:val="00806332"/>
    <w:rsid w:val="00814F9D"/>
    <w:rsid w:val="008169FF"/>
    <w:rsid w:val="0082296A"/>
    <w:rsid w:val="00824269"/>
    <w:rsid w:val="00824ECF"/>
    <w:rsid w:val="008310FC"/>
    <w:rsid w:val="00833BC7"/>
    <w:rsid w:val="0083435A"/>
    <w:rsid w:val="00836D84"/>
    <w:rsid w:val="008450A2"/>
    <w:rsid w:val="0084610D"/>
    <w:rsid w:val="00847D58"/>
    <w:rsid w:val="00851D97"/>
    <w:rsid w:val="008521FE"/>
    <w:rsid w:val="00866B6C"/>
    <w:rsid w:val="008770E2"/>
    <w:rsid w:val="00881488"/>
    <w:rsid w:val="008839AF"/>
    <w:rsid w:val="00887742"/>
    <w:rsid w:val="008915A2"/>
    <w:rsid w:val="00897DCA"/>
    <w:rsid w:val="00897DD4"/>
    <w:rsid w:val="008B1212"/>
    <w:rsid w:val="008B29C7"/>
    <w:rsid w:val="008B54DA"/>
    <w:rsid w:val="008B63FD"/>
    <w:rsid w:val="008B743F"/>
    <w:rsid w:val="008C0853"/>
    <w:rsid w:val="008C092F"/>
    <w:rsid w:val="008C387D"/>
    <w:rsid w:val="008C6AA5"/>
    <w:rsid w:val="008D1455"/>
    <w:rsid w:val="008D2C74"/>
    <w:rsid w:val="008D4A64"/>
    <w:rsid w:val="008D6F83"/>
    <w:rsid w:val="008D7707"/>
    <w:rsid w:val="008E0BCB"/>
    <w:rsid w:val="008E3356"/>
    <w:rsid w:val="008F3A01"/>
    <w:rsid w:val="009063C3"/>
    <w:rsid w:val="009073AA"/>
    <w:rsid w:val="009127A0"/>
    <w:rsid w:val="00914293"/>
    <w:rsid w:val="00920249"/>
    <w:rsid w:val="009231D0"/>
    <w:rsid w:val="00927CA1"/>
    <w:rsid w:val="009302C5"/>
    <w:rsid w:val="009304F7"/>
    <w:rsid w:val="009364C7"/>
    <w:rsid w:val="009409CD"/>
    <w:rsid w:val="00946D65"/>
    <w:rsid w:val="00962A4A"/>
    <w:rsid w:val="009643DD"/>
    <w:rsid w:val="009652EF"/>
    <w:rsid w:val="0096532A"/>
    <w:rsid w:val="00965568"/>
    <w:rsid w:val="0097122F"/>
    <w:rsid w:val="00971656"/>
    <w:rsid w:val="00972717"/>
    <w:rsid w:val="00975085"/>
    <w:rsid w:val="00977953"/>
    <w:rsid w:val="0099024F"/>
    <w:rsid w:val="00991D0E"/>
    <w:rsid w:val="00992F3F"/>
    <w:rsid w:val="00993373"/>
    <w:rsid w:val="009A67F1"/>
    <w:rsid w:val="009B04D6"/>
    <w:rsid w:val="009B2C16"/>
    <w:rsid w:val="009C0400"/>
    <w:rsid w:val="009C3A40"/>
    <w:rsid w:val="009C4121"/>
    <w:rsid w:val="009C4F2B"/>
    <w:rsid w:val="009D16B8"/>
    <w:rsid w:val="009D314D"/>
    <w:rsid w:val="009D37CF"/>
    <w:rsid w:val="009D3D54"/>
    <w:rsid w:val="009E6DA0"/>
    <w:rsid w:val="009E7BC9"/>
    <w:rsid w:val="009F01BA"/>
    <w:rsid w:val="009F2373"/>
    <w:rsid w:val="009F2909"/>
    <w:rsid w:val="009F34F1"/>
    <w:rsid w:val="009F49BE"/>
    <w:rsid w:val="009F540D"/>
    <w:rsid w:val="009F77E2"/>
    <w:rsid w:val="00A01313"/>
    <w:rsid w:val="00A02D5F"/>
    <w:rsid w:val="00A03753"/>
    <w:rsid w:val="00A05BF4"/>
    <w:rsid w:val="00A077F4"/>
    <w:rsid w:val="00A16393"/>
    <w:rsid w:val="00A20FA1"/>
    <w:rsid w:val="00A243F4"/>
    <w:rsid w:val="00A25546"/>
    <w:rsid w:val="00A31975"/>
    <w:rsid w:val="00A31D0D"/>
    <w:rsid w:val="00A37852"/>
    <w:rsid w:val="00A41F89"/>
    <w:rsid w:val="00A45991"/>
    <w:rsid w:val="00A46C46"/>
    <w:rsid w:val="00A475F3"/>
    <w:rsid w:val="00A51571"/>
    <w:rsid w:val="00A531C6"/>
    <w:rsid w:val="00A53D0D"/>
    <w:rsid w:val="00A57A63"/>
    <w:rsid w:val="00A605A1"/>
    <w:rsid w:val="00A67F98"/>
    <w:rsid w:val="00A74995"/>
    <w:rsid w:val="00A757F7"/>
    <w:rsid w:val="00A82BDA"/>
    <w:rsid w:val="00A83CEF"/>
    <w:rsid w:val="00A87A6D"/>
    <w:rsid w:val="00A91CA9"/>
    <w:rsid w:val="00A9776E"/>
    <w:rsid w:val="00A97D04"/>
    <w:rsid w:val="00AA7310"/>
    <w:rsid w:val="00AB0897"/>
    <w:rsid w:val="00AB5686"/>
    <w:rsid w:val="00AC2BE8"/>
    <w:rsid w:val="00AC4C7B"/>
    <w:rsid w:val="00AD2913"/>
    <w:rsid w:val="00AD393D"/>
    <w:rsid w:val="00AD4D8E"/>
    <w:rsid w:val="00AE1092"/>
    <w:rsid w:val="00AF5C6F"/>
    <w:rsid w:val="00B079C7"/>
    <w:rsid w:val="00B12603"/>
    <w:rsid w:val="00B167A6"/>
    <w:rsid w:val="00B16A5F"/>
    <w:rsid w:val="00B25D1A"/>
    <w:rsid w:val="00B37AC1"/>
    <w:rsid w:val="00B37EC5"/>
    <w:rsid w:val="00B40261"/>
    <w:rsid w:val="00B411EF"/>
    <w:rsid w:val="00B51777"/>
    <w:rsid w:val="00B54139"/>
    <w:rsid w:val="00B61A86"/>
    <w:rsid w:val="00B62752"/>
    <w:rsid w:val="00B735FC"/>
    <w:rsid w:val="00B74F3D"/>
    <w:rsid w:val="00B86713"/>
    <w:rsid w:val="00B875AF"/>
    <w:rsid w:val="00B87C8D"/>
    <w:rsid w:val="00B91FFC"/>
    <w:rsid w:val="00B927CD"/>
    <w:rsid w:val="00B93F84"/>
    <w:rsid w:val="00B96480"/>
    <w:rsid w:val="00BA61B4"/>
    <w:rsid w:val="00BB03C3"/>
    <w:rsid w:val="00BB0915"/>
    <w:rsid w:val="00BB2C91"/>
    <w:rsid w:val="00BB4580"/>
    <w:rsid w:val="00BC105C"/>
    <w:rsid w:val="00BC1DE4"/>
    <w:rsid w:val="00BC3B38"/>
    <w:rsid w:val="00BC46F0"/>
    <w:rsid w:val="00BD373F"/>
    <w:rsid w:val="00BE034F"/>
    <w:rsid w:val="00BE259B"/>
    <w:rsid w:val="00BF3DBF"/>
    <w:rsid w:val="00BF42A2"/>
    <w:rsid w:val="00BF50A3"/>
    <w:rsid w:val="00BF7E9C"/>
    <w:rsid w:val="00C032AE"/>
    <w:rsid w:val="00C11A4E"/>
    <w:rsid w:val="00C11A64"/>
    <w:rsid w:val="00C11FC1"/>
    <w:rsid w:val="00C14E28"/>
    <w:rsid w:val="00C15CDA"/>
    <w:rsid w:val="00C20DDF"/>
    <w:rsid w:val="00C20F53"/>
    <w:rsid w:val="00C233B7"/>
    <w:rsid w:val="00C2392D"/>
    <w:rsid w:val="00C309DF"/>
    <w:rsid w:val="00C31E69"/>
    <w:rsid w:val="00C33124"/>
    <w:rsid w:val="00C34F88"/>
    <w:rsid w:val="00C35CF2"/>
    <w:rsid w:val="00C35EBD"/>
    <w:rsid w:val="00C447BF"/>
    <w:rsid w:val="00C515B5"/>
    <w:rsid w:val="00C51D07"/>
    <w:rsid w:val="00C52A4C"/>
    <w:rsid w:val="00C566AE"/>
    <w:rsid w:val="00C57FDA"/>
    <w:rsid w:val="00C644EC"/>
    <w:rsid w:val="00C71361"/>
    <w:rsid w:val="00C71DF4"/>
    <w:rsid w:val="00C7372F"/>
    <w:rsid w:val="00C7418E"/>
    <w:rsid w:val="00C764F6"/>
    <w:rsid w:val="00C827A6"/>
    <w:rsid w:val="00C86685"/>
    <w:rsid w:val="00C87991"/>
    <w:rsid w:val="00C90351"/>
    <w:rsid w:val="00C931B8"/>
    <w:rsid w:val="00C93695"/>
    <w:rsid w:val="00C95FA1"/>
    <w:rsid w:val="00CA099E"/>
    <w:rsid w:val="00CA0AB2"/>
    <w:rsid w:val="00CA0FF3"/>
    <w:rsid w:val="00CA20E2"/>
    <w:rsid w:val="00CA31EB"/>
    <w:rsid w:val="00CA50A5"/>
    <w:rsid w:val="00CA5880"/>
    <w:rsid w:val="00CA62B7"/>
    <w:rsid w:val="00CA66D1"/>
    <w:rsid w:val="00CA6E11"/>
    <w:rsid w:val="00CB099E"/>
    <w:rsid w:val="00CB4B91"/>
    <w:rsid w:val="00CB69F5"/>
    <w:rsid w:val="00CC023B"/>
    <w:rsid w:val="00CC2467"/>
    <w:rsid w:val="00CE0916"/>
    <w:rsid w:val="00CE2AD7"/>
    <w:rsid w:val="00CF01AA"/>
    <w:rsid w:val="00D02760"/>
    <w:rsid w:val="00D0437D"/>
    <w:rsid w:val="00D04ED2"/>
    <w:rsid w:val="00D05169"/>
    <w:rsid w:val="00D051B4"/>
    <w:rsid w:val="00D0583A"/>
    <w:rsid w:val="00D06E5E"/>
    <w:rsid w:val="00D115B6"/>
    <w:rsid w:val="00D12340"/>
    <w:rsid w:val="00D131B7"/>
    <w:rsid w:val="00D1353E"/>
    <w:rsid w:val="00D14331"/>
    <w:rsid w:val="00D1642C"/>
    <w:rsid w:val="00D177AA"/>
    <w:rsid w:val="00D179B3"/>
    <w:rsid w:val="00D212B4"/>
    <w:rsid w:val="00D231AD"/>
    <w:rsid w:val="00D27199"/>
    <w:rsid w:val="00D31114"/>
    <w:rsid w:val="00D37A3D"/>
    <w:rsid w:val="00D37C69"/>
    <w:rsid w:val="00D424EA"/>
    <w:rsid w:val="00D42518"/>
    <w:rsid w:val="00D44883"/>
    <w:rsid w:val="00D47C9D"/>
    <w:rsid w:val="00D50CC3"/>
    <w:rsid w:val="00D5167B"/>
    <w:rsid w:val="00D524D1"/>
    <w:rsid w:val="00D52591"/>
    <w:rsid w:val="00D6128C"/>
    <w:rsid w:val="00D73DCC"/>
    <w:rsid w:val="00D74D79"/>
    <w:rsid w:val="00D75429"/>
    <w:rsid w:val="00D76A4D"/>
    <w:rsid w:val="00D8336B"/>
    <w:rsid w:val="00D8551B"/>
    <w:rsid w:val="00D8623C"/>
    <w:rsid w:val="00D905D3"/>
    <w:rsid w:val="00D907EE"/>
    <w:rsid w:val="00D96036"/>
    <w:rsid w:val="00D97290"/>
    <w:rsid w:val="00DA74A6"/>
    <w:rsid w:val="00DB2F0E"/>
    <w:rsid w:val="00DB33D7"/>
    <w:rsid w:val="00DB6E64"/>
    <w:rsid w:val="00DB78A0"/>
    <w:rsid w:val="00DC1329"/>
    <w:rsid w:val="00DC782D"/>
    <w:rsid w:val="00DD39DA"/>
    <w:rsid w:val="00DD756D"/>
    <w:rsid w:val="00DE15F6"/>
    <w:rsid w:val="00DE5F7B"/>
    <w:rsid w:val="00DF0378"/>
    <w:rsid w:val="00DF49FA"/>
    <w:rsid w:val="00E405FA"/>
    <w:rsid w:val="00E42221"/>
    <w:rsid w:val="00E43544"/>
    <w:rsid w:val="00E4620A"/>
    <w:rsid w:val="00E55F82"/>
    <w:rsid w:val="00E61928"/>
    <w:rsid w:val="00E62CE5"/>
    <w:rsid w:val="00E6783B"/>
    <w:rsid w:val="00E75561"/>
    <w:rsid w:val="00E75BFA"/>
    <w:rsid w:val="00E764F6"/>
    <w:rsid w:val="00E85962"/>
    <w:rsid w:val="00E91E0B"/>
    <w:rsid w:val="00E92431"/>
    <w:rsid w:val="00EA2B3B"/>
    <w:rsid w:val="00EB18BC"/>
    <w:rsid w:val="00EB4C63"/>
    <w:rsid w:val="00EB5FD1"/>
    <w:rsid w:val="00EC0B3C"/>
    <w:rsid w:val="00EC16D8"/>
    <w:rsid w:val="00EC20DB"/>
    <w:rsid w:val="00EC5235"/>
    <w:rsid w:val="00ED0A76"/>
    <w:rsid w:val="00ED0C8A"/>
    <w:rsid w:val="00ED2513"/>
    <w:rsid w:val="00ED47AC"/>
    <w:rsid w:val="00ED75B3"/>
    <w:rsid w:val="00EE10E6"/>
    <w:rsid w:val="00EE7E37"/>
    <w:rsid w:val="00EF0D7E"/>
    <w:rsid w:val="00EF0E27"/>
    <w:rsid w:val="00EF10CC"/>
    <w:rsid w:val="00EF682E"/>
    <w:rsid w:val="00F0007C"/>
    <w:rsid w:val="00F02CEF"/>
    <w:rsid w:val="00F03A01"/>
    <w:rsid w:val="00F04B91"/>
    <w:rsid w:val="00F060C3"/>
    <w:rsid w:val="00F075F9"/>
    <w:rsid w:val="00F205DC"/>
    <w:rsid w:val="00F22E39"/>
    <w:rsid w:val="00F2618D"/>
    <w:rsid w:val="00F26B44"/>
    <w:rsid w:val="00F2786B"/>
    <w:rsid w:val="00F34839"/>
    <w:rsid w:val="00F53FD1"/>
    <w:rsid w:val="00F57355"/>
    <w:rsid w:val="00F57D65"/>
    <w:rsid w:val="00F61E3A"/>
    <w:rsid w:val="00F63C47"/>
    <w:rsid w:val="00F63FD9"/>
    <w:rsid w:val="00F64FD0"/>
    <w:rsid w:val="00F675B3"/>
    <w:rsid w:val="00F76D09"/>
    <w:rsid w:val="00F80C65"/>
    <w:rsid w:val="00F82486"/>
    <w:rsid w:val="00F832C5"/>
    <w:rsid w:val="00F90206"/>
    <w:rsid w:val="00F91D25"/>
    <w:rsid w:val="00F92929"/>
    <w:rsid w:val="00FA78A9"/>
    <w:rsid w:val="00FB4A0F"/>
    <w:rsid w:val="00FB79D2"/>
    <w:rsid w:val="00FB7DB0"/>
    <w:rsid w:val="00FC0821"/>
    <w:rsid w:val="00FC1296"/>
    <w:rsid w:val="00FC12C7"/>
    <w:rsid w:val="00FC35BB"/>
    <w:rsid w:val="00FC4ED2"/>
    <w:rsid w:val="00FC6BE0"/>
    <w:rsid w:val="00FC728D"/>
    <w:rsid w:val="00FD21BC"/>
    <w:rsid w:val="00FD4529"/>
    <w:rsid w:val="00FD5A32"/>
    <w:rsid w:val="00FE0FA7"/>
    <w:rsid w:val="00FE22FB"/>
    <w:rsid w:val="00FE4440"/>
    <w:rsid w:val="00FE6120"/>
    <w:rsid w:val="00FE6854"/>
    <w:rsid w:val="00FE7DD2"/>
    <w:rsid w:val="00FF457E"/>
    <w:rsid w:val="047E05E1"/>
    <w:rsid w:val="08316F05"/>
    <w:rsid w:val="0945F10A"/>
    <w:rsid w:val="09630A90"/>
    <w:rsid w:val="0A7A2D07"/>
    <w:rsid w:val="0B5B5494"/>
    <w:rsid w:val="109004FB"/>
    <w:rsid w:val="11625D75"/>
    <w:rsid w:val="11DD1CEC"/>
    <w:rsid w:val="131B8BEE"/>
    <w:rsid w:val="144839F8"/>
    <w:rsid w:val="145065EA"/>
    <w:rsid w:val="1648B342"/>
    <w:rsid w:val="182AF27C"/>
    <w:rsid w:val="1A047DC2"/>
    <w:rsid w:val="1AACB637"/>
    <w:rsid w:val="1BA59D0D"/>
    <w:rsid w:val="1C592220"/>
    <w:rsid w:val="1CDE492B"/>
    <w:rsid w:val="1F6BCCD3"/>
    <w:rsid w:val="1F80DE03"/>
    <w:rsid w:val="218EF172"/>
    <w:rsid w:val="23CFE340"/>
    <w:rsid w:val="266F2C14"/>
    <w:rsid w:val="293F33D9"/>
    <w:rsid w:val="29B27E93"/>
    <w:rsid w:val="2C735E79"/>
    <w:rsid w:val="2D5ADD60"/>
    <w:rsid w:val="33D82382"/>
    <w:rsid w:val="37301C09"/>
    <w:rsid w:val="38B26936"/>
    <w:rsid w:val="3C4DAE2A"/>
    <w:rsid w:val="3CB27C54"/>
    <w:rsid w:val="402BD543"/>
    <w:rsid w:val="4171BB6F"/>
    <w:rsid w:val="41E57E8F"/>
    <w:rsid w:val="43D8A4E2"/>
    <w:rsid w:val="443A5CBC"/>
    <w:rsid w:val="451E5490"/>
    <w:rsid w:val="4573901F"/>
    <w:rsid w:val="472ED6F4"/>
    <w:rsid w:val="486F8B10"/>
    <w:rsid w:val="49D065E3"/>
    <w:rsid w:val="4B0706B6"/>
    <w:rsid w:val="4E048B81"/>
    <w:rsid w:val="507408A6"/>
    <w:rsid w:val="53DBB4AC"/>
    <w:rsid w:val="584F47CA"/>
    <w:rsid w:val="59AD877B"/>
    <w:rsid w:val="59D2F916"/>
    <w:rsid w:val="5AE51D6E"/>
    <w:rsid w:val="5C729729"/>
    <w:rsid w:val="5D7C9FFF"/>
    <w:rsid w:val="5E6B5450"/>
    <w:rsid w:val="5F284ED2"/>
    <w:rsid w:val="614754D6"/>
    <w:rsid w:val="636202DD"/>
    <w:rsid w:val="6453CA2A"/>
    <w:rsid w:val="667BB335"/>
    <w:rsid w:val="66B9A4C7"/>
    <w:rsid w:val="66CA564B"/>
    <w:rsid w:val="6821B2A2"/>
    <w:rsid w:val="6B9618F8"/>
    <w:rsid w:val="6C6A3289"/>
    <w:rsid w:val="6CE4C7F8"/>
    <w:rsid w:val="6DB38972"/>
    <w:rsid w:val="6E1E2586"/>
    <w:rsid w:val="6FB765C9"/>
    <w:rsid w:val="7199F3AF"/>
    <w:rsid w:val="7553AEF8"/>
    <w:rsid w:val="78863EC2"/>
    <w:rsid w:val="7AF668DB"/>
    <w:rsid w:val="7AFB3DF3"/>
    <w:rsid w:val="7B58A4A0"/>
    <w:rsid w:val="7C21D6B8"/>
    <w:rsid w:val="7E2B6E2F"/>
    <w:rsid w:val="7E35EE89"/>
    <w:rsid w:val="7EF8CA24"/>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69B00"/>
  <w15:chartTrackingRefBased/>
  <w15:docId w15:val="{08DF464D-189C-4DDE-8D59-0B665F8EE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CEF"/>
  </w:style>
  <w:style w:type="paragraph" w:styleId="Titre3">
    <w:name w:val="heading 3"/>
    <w:basedOn w:val="Normal"/>
    <w:next w:val="Normal"/>
    <w:link w:val="Titre3Car"/>
    <w:uiPriority w:val="9"/>
    <w:semiHidden/>
    <w:unhideWhenUsed/>
    <w:qFormat/>
    <w:rsid w:val="007507DC"/>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01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A5880"/>
    <w:pPr>
      <w:ind w:left="720"/>
      <w:contextualSpacing/>
    </w:pPr>
  </w:style>
  <w:style w:type="paragraph" w:styleId="En-tte">
    <w:name w:val="header"/>
    <w:basedOn w:val="Normal"/>
    <w:link w:val="En-tteCar"/>
    <w:uiPriority w:val="99"/>
    <w:unhideWhenUsed/>
    <w:rsid w:val="0047162D"/>
    <w:pPr>
      <w:tabs>
        <w:tab w:val="center" w:pos="4513"/>
        <w:tab w:val="right" w:pos="9026"/>
      </w:tabs>
      <w:spacing w:after="0" w:line="240" w:lineRule="auto"/>
    </w:pPr>
  </w:style>
  <w:style w:type="character" w:customStyle="1" w:styleId="En-tteCar">
    <w:name w:val="En-tête Car"/>
    <w:basedOn w:val="Policepardfaut"/>
    <w:link w:val="En-tte"/>
    <w:uiPriority w:val="99"/>
    <w:rsid w:val="0047162D"/>
  </w:style>
  <w:style w:type="paragraph" w:styleId="Pieddepage">
    <w:name w:val="footer"/>
    <w:basedOn w:val="Normal"/>
    <w:link w:val="PieddepageCar"/>
    <w:uiPriority w:val="99"/>
    <w:unhideWhenUsed/>
    <w:rsid w:val="0047162D"/>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7162D"/>
  </w:style>
  <w:style w:type="paragraph" w:styleId="Rvision">
    <w:name w:val="Revision"/>
    <w:hidden/>
    <w:uiPriority w:val="99"/>
    <w:semiHidden/>
    <w:rsid w:val="000D6557"/>
    <w:pPr>
      <w:spacing w:after="0" w:line="240" w:lineRule="auto"/>
    </w:pPr>
  </w:style>
  <w:style w:type="character" w:styleId="Marquedecommentaire">
    <w:name w:val="annotation reference"/>
    <w:basedOn w:val="Policepardfaut"/>
    <w:uiPriority w:val="99"/>
    <w:semiHidden/>
    <w:unhideWhenUsed/>
    <w:rsid w:val="00D52591"/>
    <w:rPr>
      <w:sz w:val="16"/>
      <w:szCs w:val="16"/>
    </w:rPr>
  </w:style>
  <w:style w:type="paragraph" w:styleId="Commentaire">
    <w:name w:val="annotation text"/>
    <w:basedOn w:val="Normal"/>
    <w:link w:val="CommentaireCar"/>
    <w:uiPriority w:val="99"/>
    <w:unhideWhenUsed/>
    <w:rsid w:val="00D52591"/>
    <w:pPr>
      <w:spacing w:line="240" w:lineRule="auto"/>
    </w:pPr>
    <w:rPr>
      <w:sz w:val="20"/>
      <w:szCs w:val="20"/>
    </w:rPr>
  </w:style>
  <w:style w:type="character" w:customStyle="1" w:styleId="CommentaireCar">
    <w:name w:val="Commentaire Car"/>
    <w:basedOn w:val="Policepardfaut"/>
    <w:link w:val="Commentaire"/>
    <w:uiPriority w:val="99"/>
    <w:rsid w:val="00D52591"/>
    <w:rPr>
      <w:sz w:val="20"/>
      <w:szCs w:val="20"/>
    </w:rPr>
  </w:style>
  <w:style w:type="paragraph" w:styleId="Objetducommentaire">
    <w:name w:val="annotation subject"/>
    <w:basedOn w:val="Commentaire"/>
    <w:next w:val="Commentaire"/>
    <w:link w:val="ObjetducommentaireCar"/>
    <w:uiPriority w:val="99"/>
    <w:semiHidden/>
    <w:unhideWhenUsed/>
    <w:rsid w:val="00D52591"/>
    <w:rPr>
      <w:b/>
      <w:bCs/>
    </w:rPr>
  </w:style>
  <w:style w:type="character" w:customStyle="1" w:styleId="ObjetducommentaireCar">
    <w:name w:val="Objet du commentaire Car"/>
    <w:basedOn w:val="CommentaireCar"/>
    <w:link w:val="Objetducommentaire"/>
    <w:uiPriority w:val="99"/>
    <w:semiHidden/>
    <w:rsid w:val="00D52591"/>
    <w:rPr>
      <w:b/>
      <w:bCs/>
      <w:sz w:val="20"/>
      <w:szCs w:val="20"/>
    </w:rPr>
  </w:style>
  <w:style w:type="paragraph" w:styleId="NormalWeb">
    <w:name w:val="Normal (Web)"/>
    <w:basedOn w:val="Normal"/>
    <w:uiPriority w:val="99"/>
    <w:semiHidden/>
    <w:unhideWhenUsed/>
    <w:rsid w:val="00C11A4E"/>
    <w:pPr>
      <w:spacing w:before="100" w:beforeAutospacing="1" w:after="100" w:afterAutospacing="1" w:line="240" w:lineRule="auto"/>
    </w:pPr>
    <w:rPr>
      <w:rFonts w:ascii="Times New Roman" w:eastAsia="Times New Roman" w:hAnsi="Times New Roman" w:cs="Times New Roman"/>
      <w:kern w:val="0"/>
      <w:lang w:val="fr-CD" w:eastAsia="fr-CD"/>
      <w14:ligatures w14:val="none"/>
    </w:rPr>
  </w:style>
  <w:style w:type="character" w:customStyle="1" w:styleId="Titre3Car">
    <w:name w:val="Titre 3 Car"/>
    <w:basedOn w:val="Policepardfaut"/>
    <w:link w:val="Titre3"/>
    <w:uiPriority w:val="9"/>
    <w:semiHidden/>
    <w:rsid w:val="007507DC"/>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031624">
      <w:bodyDiv w:val="1"/>
      <w:marLeft w:val="0"/>
      <w:marRight w:val="0"/>
      <w:marTop w:val="0"/>
      <w:marBottom w:val="0"/>
      <w:divBdr>
        <w:top w:val="none" w:sz="0" w:space="0" w:color="auto"/>
        <w:left w:val="none" w:sz="0" w:space="0" w:color="auto"/>
        <w:bottom w:val="none" w:sz="0" w:space="0" w:color="auto"/>
        <w:right w:val="none" w:sz="0" w:space="0" w:color="auto"/>
      </w:divBdr>
    </w:div>
    <w:div w:id="933513511">
      <w:bodyDiv w:val="1"/>
      <w:marLeft w:val="0"/>
      <w:marRight w:val="0"/>
      <w:marTop w:val="0"/>
      <w:marBottom w:val="0"/>
      <w:divBdr>
        <w:top w:val="none" w:sz="0" w:space="0" w:color="auto"/>
        <w:left w:val="none" w:sz="0" w:space="0" w:color="auto"/>
        <w:bottom w:val="none" w:sz="0" w:space="0" w:color="auto"/>
        <w:right w:val="none" w:sz="0" w:space="0" w:color="auto"/>
      </w:divBdr>
    </w:div>
    <w:div w:id="1047795624">
      <w:bodyDiv w:val="1"/>
      <w:marLeft w:val="0"/>
      <w:marRight w:val="0"/>
      <w:marTop w:val="0"/>
      <w:marBottom w:val="0"/>
      <w:divBdr>
        <w:top w:val="none" w:sz="0" w:space="0" w:color="auto"/>
        <w:left w:val="none" w:sz="0" w:space="0" w:color="auto"/>
        <w:bottom w:val="none" w:sz="0" w:space="0" w:color="auto"/>
        <w:right w:val="none" w:sz="0" w:space="0" w:color="auto"/>
      </w:divBdr>
    </w:div>
    <w:div w:id="129363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B0324 - Dem. Rep. of the Congo</OfficeCountry>
    <DocumentStatus xmlns="d9cf0e28-81d2-4dc7-8b10-820d80ed680d">Approved</DocumentStatus>
    <DocCoverageEndDate xmlns="d9cf0e28-81d2-4dc7-8b10-820d80ed680d">2025-06-30T04:00:00+00:00</DocCoverageEndDate>
    <TaxCatchAll xmlns="e91d5986-7c29-4ed1-8a54-b8fb378ed474" xsi:nil="true"/>
    <FunctionalArea xmlns="d9cf0e28-81d2-4dc7-8b10-820d80ed680d">Programme and Project</FunctionalArea>
    <FileNameDescription xmlns="d9cf0e28-81d2-4dc7-8b10-820d80ed680d">Progress Update -PU S1 2025</FileNameDescription>
    <ProjectNumber xmlns="d9cf0e28-81d2-4dc7-8b10-820d80ed680d">01003024</ProjectNumber>
    <DocumentType xmlns="d9cf0e28-81d2-4dc7-8b10-820d80ed680d">Donor Report</DocumentType>
    <Language xmlns="d9cf0e28-81d2-4dc7-8b10-820d80ed680d">French</Language>
    <AuthorName xmlns="d9cf0e28-81d2-4dc7-8b10-820d80ed680d">UNDP</AuthorName>
    <DocumentCategory xmlns="d9cf0e28-81d2-4dc7-8b10-820d80ed680d">Project</DocumentCategory>
    <OperatingUnit xmlns="d9cf0e28-81d2-4dc7-8b10-820d80ed680d">UNDP-COD</OperatingUnit>
    <lcf76f155ced4ddcb4097134ff3c332f xmlns="d9cf0e28-81d2-4dc7-8b10-820d80ed680d">
      <Terms xmlns="http://schemas.microsoft.com/office/infopath/2007/PartnerControls"/>
    </lcf76f155ced4ddcb4097134ff3c332f>
    <FocusArea xmlns="d9cf0e28-81d2-4dc7-8b10-820d80ed680d">HIV/AIDS</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f97bddc77fad9a11c7b8ee77fe09a7b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a2ae286b31088cd76499a9198c64a23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65FEE9-89A3-42C5-844A-ECF68079D6B8}">
  <ds:schemaRefs>
    <ds:schemaRef ds:uri="http://schemas.microsoft.com/office/2006/metadata/properties"/>
    <ds:schemaRef ds:uri="http://schemas.microsoft.com/office/infopath/2007/PartnerControls"/>
    <ds:schemaRef ds:uri="1fd09c93-2d12-48ab-b43f-b08351a2fe28"/>
  </ds:schemaRefs>
</ds:datastoreItem>
</file>

<file path=customXml/itemProps2.xml><?xml version="1.0" encoding="utf-8"?>
<ds:datastoreItem xmlns:ds="http://schemas.openxmlformats.org/officeDocument/2006/customXml" ds:itemID="{89A2EA8D-AAB1-4EFD-A5E1-1C85A8CBCAE2}"/>
</file>

<file path=customXml/itemProps3.xml><?xml version="1.0" encoding="utf-8"?>
<ds:datastoreItem xmlns:ds="http://schemas.openxmlformats.org/officeDocument/2006/customXml" ds:itemID="{2148F106-496C-468C-8190-C0254F98E9BE}">
  <ds:schemaRefs>
    <ds:schemaRef ds:uri="http://schemas.openxmlformats.org/officeDocument/2006/bibliography"/>
  </ds:schemaRefs>
</ds:datastoreItem>
</file>

<file path=customXml/itemProps4.xml><?xml version="1.0" encoding="utf-8"?>
<ds:datastoreItem xmlns:ds="http://schemas.openxmlformats.org/officeDocument/2006/customXml" ds:itemID="{2A10B8FF-C186-4734-BE01-F5EE30E5A225}">
  <ds:schemaRefs>
    <ds:schemaRef ds:uri="http://schemas.microsoft.com/sharepoint/events"/>
  </ds:schemaRefs>
</ds:datastoreItem>
</file>

<file path=customXml/itemProps5.xml><?xml version="1.0" encoding="utf-8"?>
<ds:datastoreItem xmlns:ds="http://schemas.openxmlformats.org/officeDocument/2006/customXml" ds:itemID="{CDEA44DE-245C-486D-8EAA-14A3CBEAAF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23</Pages>
  <Words>7049</Words>
  <Characters>38775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Update -PU S1 2025</dc:title>
  <dc:subject/>
  <dc:creator>Franck Fwamba N'kulu</dc:creator>
  <cp:keywords/>
  <dc:description/>
  <cp:lastModifiedBy>Leonard Ntirampeba</cp:lastModifiedBy>
  <cp:revision>33</cp:revision>
  <dcterms:created xsi:type="dcterms:W3CDTF">2025-08-14T18:22:00Z</dcterms:created>
  <dcterms:modified xsi:type="dcterms:W3CDTF">2025-08-14T20:07:00Z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532e30c2-9502-450a-abdf-cb70c7eb00a6</vt:lpwstr>
  </property>
  <property fmtid="{D5CDD505-2E9C-101B-9397-08002B2CF9AE}" pid="4" name="MediaServiceImageTags">
    <vt:lpwstr/>
  </property>
</Properties>
</file>